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8CCF" w14:textId="77777777" w:rsidR="004B2EA9" w:rsidRDefault="004B2EA9" w:rsidP="004B2EA9">
      <w:pPr>
        <w:shd w:val="clear" w:color="auto" w:fill="FFFFFF"/>
        <w:spacing w:before="480" w:after="120" w:line="240" w:lineRule="auto"/>
        <w:jc w:val="both"/>
        <w:outlineLvl w:val="0"/>
        <w:rPr>
          <w:rFonts w:ascii="Arial" w:eastAsia="Times New Roman" w:hAnsi="Arial" w:cs="Arial"/>
          <w:b/>
          <w:bCs/>
          <w:color w:val="000000"/>
          <w:kern w:val="36"/>
          <w:sz w:val="46"/>
          <w:szCs w:val="46"/>
          <w:lang w:eastAsia="es-UY"/>
          <w14:ligatures w14:val="none"/>
        </w:rPr>
      </w:pPr>
      <w:r w:rsidRPr="004B2EA9">
        <w:rPr>
          <w:rFonts w:ascii="Arial" w:eastAsia="Times New Roman" w:hAnsi="Arial" w:cs="Arial"/>
          <w:b/>
          <w:bCs/>
          <w:color w:val="000000"/>
          <w:kern w:val="36"/>
          <w:sz w:val="46"/>
          <w:szCs w:val="46"/>
          <w:lang w:eastAsia="es-UY"/>
          <w14:ligatures w14:val="none"/>
        </w:rPr>
        <w:t>Adiós al carbón: las renovables dominan el nuevo consumo eléctrico mundial</w:t>
      </w:r>
    </w:p>
    <w:p w14:paraId="051A89FD" w14:textId="002D2F27" w:rsidR="004B2EA9" w:rsidRPr="004B2EA9" w:rsidRDefault="004B2EA9" w:rsidP="004B2EA9">
      <w:pPr>
        <w:shd w:val="clear" w:color="auto" w:fill="FFFFFF"/>
        <w:spacing w:before="480" w:after="120" w:line="240" w:lineRule="auto"/>
        <w:jc w:val="both"/>
        <w:outlineLvl w:val="0"/>
        <w:rPr>
          <w:rFonts w:ascii="Arial" w:eastAsia="Times New Roman" w:hAnsi="Arial" w:cs="Arial"/>
          <w:b/>
          <w:bCs/>
          <w:color w:val="222222"/>
          <w:kern w:val="36"/>
          <w:sz w:val="48"/>
          <w:szCs w:val="48"/>
          <w:lang w:eastAsia="es-UY"/>
          <w14:ligatures w14:val="none"/>
        </w:rPr>
      </w:pPr>
      <w:r w:rsidRPr="004B2EA9">
        <w:rPr>
          <w:rFonts w:ascii="Arial" w:eastAsia="Times New Roman" w:hAnsi="Arial" w:cs="Arial"/>
          <w:i/>
          <w:iCs/>
          <w:color w:val="000000"/>
          <w:kern w:val="36"/>
          <w:sz w:val="20"/>
          <w:szCs w:val="20"/>
          <w:lang w:eastAsia="es-UY"/>
          <w14:ligatures w14:val="none"/>
        </w:rPr>
        <w:t xml:space="preserve">La energía solar y eólica lideran el crecimiento y cubren casi todo el aumento de la demanda eléctrica global. En 2025, las renovables alcanzan aproximadamente el 33,8% del </w:t>
      </w:r>
      <w:proofErr w:type="spellStart"/>
      <w:r w:rsidRPr="004B2EA9">
        <w:rPr>
          <w:rFonts w:ascii="Arial" w:eastAsia="Times New Roman" w:hAnsi="Arial" w:cs="Arial"/>
          <w:i/>
          <w:iCs/>
          <w:color w:val="000000"/>
          <w:kern w:val="36"/>
          <w:sz w:val="20"/>
          <w:szCs w:val="20"/>
          <w:lang w:eastAsia="es-UY"/>
          <w14:ligatures w14:val="none"/>
        </w:rPr>
        <w:t>mix</w:t>
      </w:r>
      <w:proofErr w:type="spellEnd"/>
      <w:r w:rsidRPr="004B2EA9">
        <w:rPr>
          <w:rFonts w:ascii="Arial" w:eastAsia="Times New Roman" w:hAnsi="Arial" w:cs="Arial"/>
          <w:i/>
          <w:iCs/>
          <w:color w:val="000000"/>
          <w:kern w:val="36"/>
          <w:sz w:val="20"/>
          <w:szCs w:val="20"/>
          <w:lang w:eastAsia="es-UY"/>
          <w14:ligatures w14:val="none"/>
        </w:rPr>
        <w:t xml:space="preserve"> eléctrico global, frente al 33% del carbón.</w:t>
      </w:r>
    </w:p>
    <w:p w14:paraId="662C563F"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Por primera vez en los registros globales, </w:t>
      </w:r>
      <w:r w:rsidRPr="004B2EA9">
        <w:rPr>
          <w:rFonts w:ascii="Arial" w:eastAsia="Times New Roman" w:hAnsi="Arial" w:cs="Arial"/>
          <w:b/>
          <w:bCs/>
          <w:color w:val="000000"/>
          <w:kern w:val="0"/>
          <w:lang w:eastAsia="es-UY"/>
          <w14:ligatures w14:val="none"/>
        </w:rPr>
        <w:t>las energías renovables han superado al carbón en la generación eléctrica mundial</w:t>
      </w:r>
      <w:r w:rsidRPr="004B2EA9">
        <w:rPr>
          <w:rFonts w:ascii="Arial" w:eastAsia="Times New Roman" w:hAnsi="Arial" w:cs="Arial"/>
          <w:color w:val="000000"/>
          <w:kern w:val="0"/>
          <w:lang w:eastAsia="es-UY"/>
          <w14:ligatures w14:val="none"/>
        </w:rPr>
        <w:t xml:space="preserve">, según el informe </w:t>
      </w:r>
      <w:r w:rsidRPr="004B2EA9">
        <w:rPr>
          <w:rFonts w:ascii="Arial" w:eastAsia="Times New Roman" w:hAnsi="Arial" w:cs="Arial"/>
          <w:i/>
          <w:iCs/>
          <w:color w:val="000000"/>
          <w:kern w:val="0"/>
          <w:lang w:eastAsia="es-UY"/>
          <w14:ligatures w14:val="none"/>
        </w:rPr>
        <w:t xml:space="preserve">Global </w:t>
      </w:r>
      <w:proofErr w:type="spellStart"/>
      <w:r w:rsidRPr="004B2EA9">
        <w:rPr>
          <w:rFonts w:ascii="Arial" w:eastAsia="Times New Roman" w:hAnsi="Arial" w:cs="Arial"/>
          <w:i/>
          <w:iCs/>
          <w:color w:val="000000"/>
          <w:kern w:val="0"/>
          <w:lang w:eastAsia="es-UY"/>
          <w14:ligatures w14:val="none"/>
        </w:rPr>
        <w:t>Electricity</w:t>
      </w:r>
      <w:proofErr w:type="spellEnd"/>
      <w:r w:rsidRPr="004B2EA9">
        <w:rPr>
          <w:rFonts w:ascii="Arial" w:eastAsia="Times New Roman" w:hAnsi="Arial" w:cs="Arial"/>
          <w:i/>
          <w:iCs/>
          <w:color w:val="000000"/>
          <w:kern w:val="0"/>
          <w:lang w:eastAsia="es-UY"/>
          <w14:ligatures w14:val="none"/>
        </w:rPr>
        <w:t xml:space="preserve"> </w:t>
      </w:r>
      <w:proofErr w:type="spellStart"/>
      <w:r w:rsidRPr="004B2EA9">
        <w:rPr>
          <w:rFonts w:ascii="Arial" w:eastAsia="Times New Roman" w:hAnsi="Arial" w:cs="Arial"/>
          <w:i/>
          <w:iCs/>
          <w:color w:val="000000"/>
          <w:kern w:val="0"/>
          <w:lang w:eastAsia="es-UY"/>
          <w14:ligatures w14:val="none"/>
        </w:rPr>
        <w:t>Review</w:t>
      </w:r>
      <w:proofErr w:type="spellEnd"/>
      <w:r w:rsidRPr="004B2EA9">
        <w:rPr>
          <w:rFonts w:ascii="Arial" w:eastAsia="Times New Roman" w:hAnsi="Arial" w:cs="Arial"/>
          <w:i/>
          <w:iCs/>
          <w:color w:val="000000"/>
          <w:kern w:val="0"/>
          <w:lang w:eastAsia="es-UY"/>
          <w14:ligatures w14:val="none"/>
        </w:rPr>
        <w:t xml:space="preserve"> 2026</w:t>
      </w:r>
      <w:r w:rsidRPr="004B2EA9">
        <w:rPr>
          <w:rFonts w:ascii="Arial" w:eastAsia="Times New Roman" w:hAnsi="Arial" w:cs="Arial"/>
          <w:color w:val="000000"/>
          <w:kern w:val="0"/>
          <w:lang w:eastAsia="es-UY"/>
          <w14:ligatures w14:val="none"/>
        </w:rPr>
        <w:t xml:space="preserve"> del centro de estudios energéticos Ember. El análisis confirma un cambio estructural en el sistema eléctrico global, con las </w:t>
      </w:r>
      <w:r w:rsidRPr="004B2EA9">
        <w:rPr>
          <w:rFonts w:ascii="Arial" w:eastAsia="Times New Roman" w:hAnsi="Arial" w:cs="Arial"/>
          <w:b/>
          <w:bCs/>
          <w:color w:val="000000"/>
          <w:kern w:val="0"/>
          <w:lang w:eastAsia="es-UY"/>
          <w14:ligatures w14:val="none"/>
        </w:rPr>
        <w:t>tecnologías limpias</w:t>
      </w:r>
      <w:r w:rsidRPr="004B2EA9">
        <w:rPr>
          <w:rFonts w:ascii="Arial" w:eastAsia="Times New Roman" w:hAnsi="Arial" w:cs="Arial"/>
          <w:color w:val="000000"/>
          <w:kern w:val="0"/>
          <w:lang w:eastAsia="es-UY"/>
          <w14:ligatures w14:val="none"/>
        </w:rPr>
        <w:t xml:space="preserve"> como </w:t>
      </w:r>
      <w:r w:rsidRPr="004B2EA9">
        <w:rPr>
          <w:rFonts w:ascii="Arial" w:eastAsia="Times New Roman" w:hAnsi="Arial" w:cs="Arial"/>
          <w:b/>
          <w:bCs/>
          <w:color w:val="000000"/>
          <w:kern w:val="0"/>
          <w:lang w:eastAsia="es-UY"/>
          <w14:ligatures w14:val="none"/>
        </w:rPr>
        <w:t>principal motor del crecimiento de la demanda.</w:t>
      </w:r>
    </w:p>
    <w:p w14:paraId="4DF59696"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Este punto de inflexión se produce en un contexto de creciente </w:t>
      </w:r>
      <w:r w:rsidRPr="004B2EA9">
        <w:rPr>
          <w:rFonts w:ascii="Arial" w:eastAsia="Times New Roman" w:hAnsi="Arial" w:cs="Arial"/>
          <w:b/>
          <w:bCs/>
          <w:color w:val="000000"/>
          <w:kern w:val="0"/>
          <w:lang w:eastAsia="es-UY"/>
          <w14:ligatures w14:val="none"/>
        </w:rPr>
        <w:t>tensión geopolítica</w:t>
      </w:r>
      <w:r w:rsidRPr="004B2EA9">
        <w:rPr>
          <w:rFonts w:ascii="Arial" w:eastAsia="Times New Roman" w:hAnsi="Arial" w:cs="Arial"/>
          <w:color w:val="000000"/>
          <w:kern w:val="0"/>
          <w:lang w:eastAsia="es-UY"/>
          <w14:ligatures w14:val="none"/>
        </w:rPr>
        <w:t xml:space="preserve"> y de redefinición del modelo energético internacional. Mientras la </w:t>
      </w:r>
      <w:hyperlink r:id="rId5" w:tgtFrame="_blank" w:history="1">
        <w:r w:rsidRPr="004B2EA9">
          <w:rPr>
            <w:rFonts w:ascii="Arial" w:eastAsia="Times New Roman" w:hAnsi="Arial" w:cs="Arial"/>
            <w:color w:val="1155CC"/>
            <w:kern w:val="0"/>
            <w:u w:val="single"/>
            <w:lang w:eastAsia="es-UY"/>
            <w14:ligatures w14:val="none"/>
          </w:rPr>
          <w:t>transición hacia fuentes renovables se acelera</w:t>
        </w:r>
      </w:hyperlink>
      <w:r w:rsidRPr="004B2EA9">
        <w:rPr>
          <w:rFonts w:ascii="Arial" w:eastAsia="Times New Roman" w:hAnsi="Arial" w:cs="Arial"/>
          <w:color w:val="000000"/>
          <w:kern w:val="0"/>
          <w:lang w:eastAsia="es-UY"/>
          <w14:ligatures w14:val="none"/>
        </w:rPr>
        <w:t xml:space="preserve">, el debate sigue abierto en torno a la </w:t>
      </w:r>
      <w:r w:rsidRPr="004B2EA9">
        <w:rPr>
          <w:rFonts w:ascii="Arial" w:eastAsia="Times New Roman" w:hAnsi="Arial" w:cs="Arial"/>
          <w:b/>
          <w:bCs/>
          <w:color w:val="000000"/>
          <w:kern w:val="0"/>
          <w:lang w:eastAsia="es-UY"/>
          <w14:ligatures w14:val="none"/>
        </w:rPr>
        <w:t>seguridad del suministro, los costes del sistema eléctrico y la reducción de la dependencia de los combustibles fósiles</w:t>
      </w:r>
      <w:r w:rsidRPr="004B2EA9">
        <w:rPr>
          <w:rFonts w:ascii="Arial" w:eastAsia="Times New Roman" w:hAnsi="Arial" w:cs="Arial"/>
          <w:color w:val="000000"/>
          <w:kern w:val="0"/>
          <w:lang w:eastAsia="es-UY"/>
          <w14:ligatures w14:val="none"/>
        </w:rPr>
        <w:t>.</w:t>
      </w:r>
    </w:p>
    <w:p w14:paraId="619EE151" w14:textId="77777777" w:rsidR="004B2EA9" w:rsidRPr="004B2EA9" w:rsidRDefault="004B2EA9" w:rsidP="004B2EA9">
      <w:pPr>
        <w:shd w:val="clear" w:color="auto" w:fill="FFFFFF"/>
        <w:spacing w:before="360" w:after="80" w:line="240" w:lineRule="auto"/>
        <w:jc w:val="both"/>
        <w:outlineLvl w:val="1"/>
        <w:rPr>
          <w:rFonts w:ascii="Arial" w:eastAsia="Times New Roman" w:hAnsi="Arial" w:cs="Arial"/>
          <w:b/>
          <w:bCs/>
          <w:color w:val="222222"/>
          <w:kern w:val="0"/>
          <w:sz w:val="36"/>
          <w:szCs w:val="36"/>
          <w:lang w:eastAsia="es-UY"/>
          <w14:ligatures w14:val="none"/>
        </w:rPr>
      </w:pPr>
      <w:r w:rsidRPr="004B2EA9">
        <w:rPr>
          <w:rFonts w:ascii="Arial" w:eastAsia="Times New Roman" w:hAnsi="Arial" w:cs="Arial"/>
          <w:color w:val="000000"/>
          <w:kern w:val="0"/>
          <w:sz w:val="34"/>
          <w:szCs w:val="34"/>
          <w:lang w:eastAsia="es-UY"/>
          <w14:ligatures w14:val="none"/>
        </w:rPr>
        <w:t>Reconfiguración global de la generación eléctrica</w:t>
      </w:r>
    </w:p>
    <w:p w14:paraId="2736BEB0"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El sistema eléctrico mundial ha alcanzado un </w:t>
      </w:r>
      <w:r w:rsidRPr="004B2EA9">
        <w:rPr>
          <w:rFonts w:ascii="Arial" w:eastAsia="Times New Roman" w:hAnsi="Arial" w:cs="Arial"/>
          <w:b/>
          <w:bCs/>
          <w:color w:val="000000"/>
          <w:kern w:val="0"/>
          <w:lang w:eastAsia="es-UY"/>
          <w14:ligatures w14:val="none"/>
        </w:rPr>
        <w:t>punto de inflexión histórico.</w:t>
      </w:r>
      <w:r w:rsidRPr="004B2EA9">
        <w:rPr>
          <w:rFonts w:ascii="Arial" w:eastAsia="Times New Roman" w:hAnsi="Arial" w:cs="Arial"/>
          <w:color w:val="000000"/>
          <w:kern w:val="0"/>
          <w:lang w:eastAsia="es-UY"/>
          <w14:ligatures w14:val="none"/>
        </w:rPr>
        <w:t xml:space="preserve"> Las energías renovables han superado al carbón en la cobertura del crecimiento de la demanda eléctrica global, consolidándose como el principal motor del sistema energético.</w:t>
      </w:r>
    </w:p>
    <w:p w14:paraId="7A3E2CBE"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En este nuevo escenario destacan varios elementos clave:</w:t>
      </w:r>
    </w:p>
    <w:p w14:paraId="3E4767D0" w14:textId="77777777" w:rsidR="004B2EA9" w:rsidRPr="004B2EA9" w:rsidRDefault="004B2EA9" w:rsidP="004B2EA9">
      <w:pPr>
        <w:numPr>
          <w:ilvl w:val="0"/>
          <w:numId w:val="1"/>
        </w:numPr>
        <w:spacing w:before="240"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Las renovables representan ya </w:t>
      </w:r>
      <w:r w:rsidRPr="004B2EA9">
        <w:rPr>
          <w:rFonts w:ascii="Arial" w:eastAsia="Times New Roman" w:hAnsi="Arial" w:cs="Arial"/>
          <w:b/>
          <w:bCs/>
          <w:color w:val="000000"/>
          <w:kern w:val="0"/>
          <w:lang w:eastAsia="es-UY"/>
          <w14:ligatures w14:val="none"/>
        </w:rPr>
        <w:t xml:space="preserve">alrededor de un tercio del </w:t>
      </w:r>
      <w:proofErr w:type="spellStart"/>
      <w:r w:rsidRPr="004B2EA9">
        <w:rPr>
          <w:rFonts w:ascii="Arial" w:eastAsia="Times New Roman" w:hAnsi="Arial" w:cs="Arial"/>
          <w:b/>
          <w:bCs/>
          <w:color w:val="000000"/>
          <w:kern w:val="0"/>
          <w:lang w:eastAsia="es-UY"/>
          <w14:ligatures w14:val="none"/>
        </w:rPr>
        <w:t>mix</w:t>
      </w:r>
      <w:proofErr w:type="spellEnd"/>
      <w:r w:rsidRPr="004B2EA9">
        <w:rPr>
          <w:rFonts w:ascii="Arial" w:eastAsia="Times New Roman" w:hAnsi="Arial" w:cs="Arial"/>
          <w:b/>
          <w:bCs/>
          <w:color w:val="000000"/>
          <w:kern w:val="0"/>
          <w:lang w:eastAsia="es-UY"/>
          <w14:ligatures w14:val="none"/>
        </w:rPr>
        <w:t xml:space="preserve"> eléctrico mundial (≈33–34%)</w:t>
      </w:r>
      <w:r w:rsidRPr="004B2EA9">
        <w:rPr>
          <w:rFonts w:ascii="Arial" w:eastAsia="Times New Roman" w:hAnsi="Arial" w:cs="Arial"/>
          <w:color w:val="000000"/>
          <w:kern w:val="0"/>
          <w:lang w:eastAsia="es-UY"/>
          <w14:ligatures w14:val="none"/>
        </w:rPr>
        <w:t xml:space="preserve">, con una generación estimada cercana a </w:t>
      </w:r>
      <w:r w:rsidRPr="004B2EA9">
        <w:rPr>
          <w:rFonts w:ascii="Arial" w:eastAsia="Times New Roman" w:hAnsi="Arial" w:cs="Arial"/>
          <w:b/>
          <w:bCs/>
          <w:color w:val="000000"/>
          <w:kern w:val="0"/>
          <w:lang w:eastAsia="es-UY"/>
          <w14:ligatures w14:val="none"/>
        </w:rPr>
        <w:t>10.700 TWh</w:t>
      </w:r>
      <w:r w:rsidRPr="004B2EA9">
        <w:rPr>
          <w:rFonts w:ascii="Arial" w:eastAsia="Times New Roman" w:hAnsi="Arial" w:cs="Arial"/>
          <w:color w:val="000000"/>
          <w:kern w:val="0"/>
          <w:lang w:eastAsia="es-UY"/>
          <w14:ligatures w14:val="none"/>
        </w:rPr>
        <w:t>, reflejando una tendencia claramente ascendente.</w:t>
      </w:r>
    </w:p>
    <w:p w14:paraId="54667AE4" w14:textId="77777777" w:rsidR="004B2EA9" w:rsidRPr="004B2EA9" w:rsidRDefault="004B2EA9" w:rsidP="004B2EA9">
      <w:pPr>
        <w:numPr>
          <w:ilvl w:val="0"/>
          <w:numId w:val="1"/>
        </w:numPr>
        <w:spacing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La </w:t>
      </w:r>
      <w:hyperlink r:id="rId6" w:tgtFrame="_blank" w:history="1">
        <w:r w:rsidRPr="004B2EA9">
          <w:rPr>
            <w:rFonts w:ascii="Arial" w:eastAsia="Times New Roman" w:hAnsi="Arial" w:cs="Arial"/>
            <w:b/>
            <w:bCs/>
            <w:color w:val="1155CC"/>
            <w:kern w:val="0"/>
            <w:u w:val="single"/>
            <w:lang w:eastAsia="es-UY"/>
            <w14:ligatures w14:val="none"/>
          </w:rPr>
          <w:t>energía solar</w:t>
        </w:r>
      </w:hyperlink>
      <w:r w:rsidRPr="004B2EA9">
        <w:rPr>
          <w:rFonts w:ascii="Arial" w:eastAsia="Times New Roman" w:hAnsi="Arial" w:cs="Arial"/>
          <w:b/>
          <w:bCs/>
          <w:color w:val="000000"/>
          <w:kern w:val="0"/>
          <w:lang w:eastAsia="es-UY"/>
          <w14:ligatures w14:val="none"/>
        </w:rPr>
        <w:t xml:space="preserve"> y la eólica lideran la expansión de nueva capacidad instalada</w:t>
      </w:r>
      <w:r w:rsidRPr="004B2EA9">
        <w:rPr>
          <w:rFonts w:ascii="Arial" w:eastAsia="Times New Roman" w:hAnsi="Arial" w:cs="Arial"/>
          <w:color w:val="000000"/>
          <w:kern w:val="0"/>
          <w:lang w:eastAsia="es-UY"/>
          <w14:ligatures w14:val="none"/>
        </w:rPr>
        <w:t>, especialmente en China, Europa y Estados Unidos.</w:t>
      </w:r>
    </w:p>
    <w:p w14:paraId="7A855EFB" w14:textId="77777777" w:rsidR="004B2EA9" w:rsidRPr="004B2EA9" w:rsidRDefault="004B2EA9" w:rsidP="004B2EA9">
      <w:pPr>
        <w:numPr>
          <w:ilvl w:val="0"/>
          <w:numId w:val="1"/>
        </w:numPr>
        <w:spacing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La </w:t>
      </w:r>
      <w:r w:rsidRPr="004B2EA9">
        <w:rPr>
          <w:rFonts w:ascii="Arial" w:eastAsia="Times New Roman" w:hAnsi="Arial" w:cs="Arial"/>
          <w:b/>
          <w:bCs/>
          <w:color w:val="000000"/>
          <w:kern w:val="0"/>
          <w:lang w:eastAsia="es-UY"/>
          <w14:ligatures w14:val="none"/>
        </w:rPr>
        <w:t>energía solar se consolida como la tecnología dominante</w:t>
      </w:r>
      <w:r w:rsidRPr="004B2EA9">
        <w:rPr>
          <w:rFonts w:ascii="Arial" w:eastAsia="Times New Roman" w:hAnsi="Arial" w:cs="Arial"/>
          <w:color w:val="000000"/>
          <w:kern w:val="0"/>
          <w:lang w:eastAsia="es-UY"/>
          <w14:ligatures w14:val="none"/>
        </w:rPr>
        <w:t>, al concentrar la mayor parte del crecimiento global.</w:t>
      </w:r>
    </w:p>
    <w:p w14:paraId="6999C170" w14:textId="77777777" w:rsidR="004B2EA9" w:rsidRPr="004B2EA9" w:rsidRDefault="004B2EA9" w:rsidP="004B2EA9">
      <w:pPr>
        <w:numPr>
          <w:ilvl w:val="0"/>
          <w:numId w:val="1"/>
        </w:numPr>
        <w:spacing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Sus costes han caído </w:t>
      </w:r>
      <w:r w:rsidRPr="004B2EA9">
        <w:rPr>
          <w:rFonts w:ascii="Arial" w:eastAsia="Times New Roman" w:hAnsi="Arial" w:cs="Arial"/>
          <w:b/>
          <w:bCs/>
          <w:color w:val="000000"/>
          <w:kern w:val="0"/>
          <w:lang w:eastAsia="es-UY"/>
          <w14:ligatures w14:val="none"/>
        </w:rPr>
        <w:t>más de un 80% en la última década</w:t>
      </w:r>
      <w:r w:rsidRPr="004B2EA9">
        <w:rPr>
          <w:rFonts w:ascii="Arial" w:eastAsia="Times New Roman" w:hAnsi="Arial" w:cs="Arial"/>
          <w:color w:val="000000"/>
          <w:kern w:val="0"/>
          <w:lang w:eastAsia="es-UY"/>
          <w14:ligatures w14:val="none"/>
        </w:rPr>
        <w:t>, lo que la hace altamente competitiva frente al carbón.</w:t>
      </w:r>
    </w:p>
    <w:p w14:paraId="4A9EC213" w14:textId="77777777" w:rsidR="004B2EA9" w:rsidRPr="004B2EA9" w:rsidRDefault="004B2EA9" w:rsidP="004B2EA9">
      <w:pPr>
        <w:numPr>
          <w:ilvl w:val="0"/>
          <w:numId w:val="1"/>
        </w:numPr>
        <w:spacing w:after="24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La integración en red mejora gracias al desarrollo de almacenamiento y gestión de la demanda, facilitando su escalabilidad.</w:t>
      </w:r>
    </w:p>
    <w:p w14:paraId="47882B51"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Este cambio estructural se produce en un contexto de alta incertidumbre geopolítica y energética, donde la dependencia de los combustibles fósiles vuelve a mostrar sus límites. A diferencia de etapas anteriores, el crecimiento renovable ya no sustituye la generación existente, sino que </w:t>
      </w:r>
      <w:r w:rsidRPr="004B2EA9">
        <w:rPr>
          <w:rFonts w:ascii="Arial" w:eastAsia="Times New Roman" w:hAnsi="Arial" w:cs="Arial"/>
          <w:b/>
          <w:bCs/>
          <w:color w:val="000000"/>
          <w:kern w:val="0"/>
          <w:lang w:eastAsia="es-UY"/>
          <w14:ligatures w14:val="none"/>
        </w:rPr>
        <w:t>absorbe prácticamente la totalidad del aumento de la demanda eléctrica global sin frenar el crecimiento económico</w:t>
      </w:r>
      <w:r w:rsidRPr="004B2EA9">
        <w:rPr>
          <w:rFonts w:ascii="Arial" w:eastAsia="Times New Roman" w:hAnsi="Arial" w:cs="Arial"/>
          <w:color w:val="000000"/>
          <w:kern w:val="0"/>
          <w:lang w:eastAsia="es-UY"/>
          <w14:ligatures w14:val="none"/>
        </w:rPr>
        <w:t>.</w:t>
      </w:r>
    </w:p>
    <w:p w14:paraId="4DF2A927" w14:textId="77777777" w:rsidR="004B2EA9" w:rsidRPr="004B2EA9" w:rsidRDefault="004B2EA9" w:rsidP="004B2EA9">
      <w:pPr>
        <w:shd w:val="clear" w:color="auto" w:fill="FFFFFF"/>
        <w:spacing w:before="280" w:after="120" w:line="240" w:lineRule="auto"/>
        <w:jc w:val="both"/>
        <w:outlineLvl w:val="1"/>
        <w:rPr>
          <w:rFonts w:ascii="Arial" w:eastAsia="Times New Roman" w:hAnsi="Arial" w:cs="Arial"/>
          <w:b/>
          <w:bCs/>
          <w:color w:val="222222"/>
          <w:kern w:val="0"/>
          <w:sz w:val="36"/>
          <w:szCs w:val="36"/>
          <w:lang w:eastAsia="es-UY"/>
          <w14:ligatures w14:val="none"/>
        </w:rPr>
      </w:pPr>
      <w:r w:rsidRPr="004B2EA9">
        <w:rPr>
          <w:rFonts w:ascii="Arial" w:eastAsia="Times New Roman" w:hAnsi="Arial" w:cs="Arial"/>
          <w:color w:val="000000"/>
          <w:kern w:val="0"/>
          <w:sz w:val="32"/>
          <w:szCs w:val="32"/>
          <w:lang w:eastAsia="es-UY"/>
          <w14:ligatures w14:val="none"/>
        </w:rPr>
        <w:lastRenderedPageBreak/>
        <w:t>La batalla por acelerar el fin de los fósiles: COP30 y cumbre alternativa del clima</w:t>
      </w:r>
    </w:p>
    <w:p w14:paraId="71501821"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El calendario climático internacional entra en una fase de alta tensión política con la proximidad de la </w:t>
      </w:r>
      <w:r w:rsidRPr="004B2EA9">
        <w:rPr>
          <w:rFonts w:ascii="Arial" w:eastAsia="Times New Roman" w:hAnsi="Arial" w:cs="Arial"/>
          <w:b/>
          <w:bCs/>
          <w:color w:val="000000"/>
          <w:kern w:val="0"/>
          <w:lang w:eastAsia="es-UY"/>
          <w14:ligatures w14:val="none"/>
        </w:rPr>
        <w:t xml:space="preserve">COP30, </w:t>
      </w:r>
      <w:r w:rsidRPr="004B2EA9">
        <w:rPr>
          <w:rFonts w:ascii="Arial" w:eastAsia="Times New Roman" w:hAnsi="Arial" w:cs="Arial"/>
          <w:color w:val="000000"/>
          <w:kern w:val="0"/>
          <w:lang w:eastAsia="es-UY"/>
          <w14:ligatures w14:val="none"/>
        </w:rPr>
        <w:t xml:space="preserve">prevista para noviembre de 2026 en Belém (Brasil). La cita llega en un contexto en el que, aunque las renovables crecen con fuerza, no existe aún un consenso global sobre una </w:t>
      </w:r>
      <w:r w:rsidRPr="004B2EA9">
        <w:rPr>
          <w:rFonts w:ascii="Arial" w:eastAsia="Times New Roman" w:hAnsi="Arial" w:cs="Arial"/>
          <w:b/>
          <w:bCs/>
          <w:color w:val="000000"/>
          <w:kern w:val="0"/>
          <w:lang w:eastAsia="es-UY"/>
          <w14:ligatures w14:val="none"/>
        </w:rPr>
        <w:t>salida ordenada de los combustibles fósiles</w:t>
      </w:r>
      <w:r w:rsidRPr="004B2EA9">
        <w:rPr>
          <w:rFonts w:ascii="Arial" w:eastAsia="Times New Roman" w:hAnsi="Arial" w:cs="Arial"/>
          <w:color w:val="000000"/>
          <w:kern w:val="0"/>
          <w:lang w:eastAsia="es-UY"/>
          <w14:ligatures w14:val="none"/>
        </w:rPr>
        <w:t>.</w:t>
      </w:r>
    </w:p>
    <w:p w14:paraId="28BA9776"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Según los preparativos diplomáticos, la COP30 deberá abordar tres grandes ejes:</w:t>
      </w:r>
    </w:p>
    <w:p w14:paraId="19514BE2" w14:textId="77777777" w:rsidR="004B2EA9" w:rsidRPr="004B2EA9" w:rsidRDefault="004B2EA9" w:rsidP="004B2EA9">
      <w:pPr>
        <w:numPr>
          <w:ilvl w:val="0"/>
          <w:numId w:val="2"/>
        </w:numPr>
        <w:spacing w:before="240"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b/>
          <w:bCs/>
          <w:color w:val="000000"/>
          <w:kern w:val="0"/>
          <w:lang w:eastAsia="es-UY"/>
          <w14:ligatures w14:val="none"/>
        </w:rPr>
        <w:t>Revisión de los compromisos de reducción de emisiones (</w:t>
      </w:r>
      <w:proofErr w:type="spellStart"/>
      <w:r w:rsidRPr="004B2EA9">
        <w:rPr>
          <w:rFonts w:ascii="Arial" w:eastAsia="Times New Roman" w:hAnsi="Arial" w:cs="Arial"/>
          <w:b/>
          <w:bCs/>
          <w:color w:val="000000"/>
          <w:kern w:val="0"/>
          <w:lang w:eastAsia="es-UY"/>
          <w14:ligatures w14:val="none"/>
        </w:rPr>
        <w:t>NDCs</w:t>
      </w:r>
      <w:proofErr w:type="spellEnd"/>
      <w:r w:rsidRPr="004B2EA9">
        <w:rPr>
          <w:rFonts w:ascii="Arial" w:eastAsia="Times New Roman" w:hAnsi="Arial" w:cs="Arial"/>
          <w:b/>
          <w:bCs/>
          <w:color w:val="000000"/>
          <w:kern w:val="0"/>
          <w:lang w:eastAsia="es-UY"/>
          <w14:ligatures w14:val="none"/>
        </w:rPr>
        <w:t>)</w:t>
      </w:r>
    </w:p>
    <w:p w14:paraId="5ED8D18D" w14:textId="77777777" w:rsidR="004B2EA9" w:rsidRPr="004B2EA9" w:rsidRDefault="004B2EA9" w:rsidP="004B2EA9">
      <w:pPr>
        <w:numPr>
          <w:ilvl w:val="0"/>
          <w:numId w:val="2"/>
        </w:numPr>
        <w:spacing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Definición de una posible </w:t>
      </w:r>
      <w:r w:rsidRPr="004B2EA9">
        <w:rPr>
          <w:rFonts w:ascii="Arial" w:eastAsia="Times New Roman" w:hAnsi="Arial" w:cs="Arial"/>
          <w:b/>
          <w:bCs/>
          <w:color w:val="000000"/>
          <w:kern w:val="0"/>
          <w:lang w:eastAsia="es-UY"/>
          <w14:ligatures w14:val="none"/>
        </w:rPr>
        <w:t>hoja de ruta para el abandono progresivo del carbón, petróleo y gas</w:t>
      </w:r>
    </w:p>
    <w:p w14:paraId="3EEBEDC2" w14:textId="77777777" w:rsidR="004B2EA9" w:rsidRPr="004B2EA9" w:rsidRDefault="004B2EA9" w:rsidP="004B2EA9">
      <w:pPr>
        <w:numPr>
          <w:ilvl w:val="0"/>
          <w:numId w:val="2"/>
        </w:numPr>
        <w:spacing w:after="24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Aceleración de la financiación climática para países en desarrollo</w:t>
      </w:r>
    </w:p>
    <w:p w14:paraId="7C0CF5A7"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Sin embargo, el debate sigue bloqueado: el documento final de la COP anterior (2025) ya evidenció la dificultad de avanzar, al </w:t>
      </w:r>
      <w:r w:rsidRPr="004B2EA9">
        <w:rPr>
          <w:rFonts w:ascii="Arial" w:eastAsia="Times New Roman" w:hAnsi="Arial" w:cs="Arial"/>
          <w:b/>
          <w:bCs/>
          <w:color w:val="000000"/>
          <w:kern w:val="0"/>
          <w:lang w:eastAsia="es-UY"/>
          <w14:ligatures w14:val="none"/>
        </w:rPr>
        <w:t>no incluir una referencia explícita a la eliminación de los combustibles fósiles</w:t>
      </w:r>
      <w:r w:rsidRPr="004B2EA9">
        <w:rPr>
          <w:rFonts w:ascii="Arial" w:eastAsia="Times New Roman" w:hAnsi="Arial" w:cs="Arial"/>
          <w:color w:val="000000"/>
          <w:kern w:val="0"/>
          <w:lang w:eastAsia="es-UY"/>
          <w14:ligatures w14:val="none"/>
        </w:rPr>
        <w:t xml:space="preserve">. En paralelo a la negociación oficial, ha cobrado fuerza la Cumbre Internacional de Santa Marta (Colombia) conocida como la </w:t>
      </w:r>
      <w:r w:rsidRPr="004B2EA9">
        <w:rPr>
          <w:rFonts w:ascii="Arial" w:eastAsia="Times New Roman" w:hAnsi="Arial" w:cs="Arial"/>
          <w:b/>
          <w:bCs/>
          <w:color w:val="000000"/>
          <w:kern w:val="0"/>
          <w:lang w:eastAsia="es-UY"/>
          <w14:ligatures w14:val="none"/>
        </w:rPr>
        <w:t>cumbre alternativa del clima</w:t>
      </w:r>
      <w:r w:rsidRPr="004B2EA9">
        <w:rPr>
          <w:rFonts w:ascii="Arial" w:eastAsia="Times New Roman" w:hAnsi="Arial" w:cs="Arial"/>
          <w:color w:val="000000"/>
          <w:kern w:val="0"/>
          <w:lang w:eastAsia="es-UY"/>
          <w14:ligatures w14:val="none"/>
        </w:rPr>
        <w:t>, celebrada entre el 24 y el 29 de abril del año en curso, con una agenda más ambiciosa y directa. Entre sus principales objetivos destacan:</w:t>
      </w:r>
    </w:p>
    <w:p w14:paraId="18390121" w14:textId="77777777" w:rsidR="004B2EA9" w:rsidRPr="004B2EA9" w:rsidRDefault="004B2EA9" w:rsidP="004B2EA9">
      <w:pPr>
        <w:numPr>
          <w:ilvl w:val="0"/>
          <w:numId w:val="3"/>
        </w:numPr>
        <w:spacing w:before="240"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Impulsar </w:t>
      </w:r>
      <w:r w:rsidRPr="004B2EA9">
        <w:rPr>
          <w:rFonts w:ascii="Arial" w:eastAsia="Times New Roman" w:hAnsi="Arial" w:cs="Arial"/>
          <w:b/>
          <w:bCs/>
          <w:color w:val="000000"/>
          <w:kern w:val="0"/>
          <w:lang w:eastAsia="es-UY"/>
          <w14:ligatures w14:val="none"/>
        </w:rPr>
        <w:t>alianzas internacionales para frenar la expansión del petróleo y el gas</w:t>
      </w:r>
    </w:p>
    <w:p w14:paraId="5DED1365" w14:textId="77777777" w:rsidR="004B2EA9" w:rsidRPr="004B2EA9" w:rsidRDefault="004B2EA9" w:rsidP="004B2EA9">
      <w:pPr>
        <w:numPr>
          <w:ilvl w:val="0"/>
          <w:numId w:val="3"/>
        </w:numPr>
        <w:spacing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Exigir la </w:t>
      </w:r>
      <w:r w:rsidRPr="004B2EA9">
        <w:rPr>
          <w:rFonts w:ascii="Arial" w:eastAsia="Times New Roman" w:hAnsi="Arial" w:cs="Arial"/>
          <w:b/>
          <w:bCs/>
          <w:color w:val="000000"/>
          <w:kern w:val="0"/>
          <w:lang w:eastAsia="es-UY"/>
          <w14:ligatures w14:val="none"/>
        </w:rPr>
        <w:t>cancelación de nuevos proyectos de infraestructuras fósiles</w:t>
      </w:r>
    </w:p>
    <w:p w14:paraId="6B0E03AC" w14:textId="77777777" w:rsidR="004B2EA9" w:rsidRPr="004B2EA9" w:rsidRDefault="004B2EA9" w:rsidP="004B2EA9">
      <w:pPr>
        <w:numPr>
          <w:ilvl w:val="0"/>
          <w:numId w:val="3"/>
        </w:numPr>
        <w:spacing w:after="24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Acelerar la transición energética fuera del marco de negociación de la COP</w:t>
      </w:r>
    </w:p>
    <w:p w14:paraId="13AFD29A"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Este encuentro, refleja el crecimiento de una coalición de actores climáticos y gobiernos que consideran que el ritmo de la diplomacia oficial es insuficiente frente a la </w:t>
      </w:r>
      <w:hyperlink r:id="rId7" w:tgtFrame="_blank" w:history="1">
        <w:r w:rsidRPr="004B2EA9">
          <w:rPr>
            <w:rFonts w:ascii="Arial" w:eastAsia="Times New Roman" w:hAnsi="Arial" w:cs="Arial"/>
            <w:color w:val="1155CC"/>
            <w:kern w:val="0"/>
            <w:u w:val="single"/>
            <w:lang w:eastAsia="es-UY"/>
            <w14:ligatures w14:val="none"/>
          </w:rPr>
          <w:t>urgencia climática.</w:t>
        </w:r>
      </w:hyperlink>
    </w:p>
    <w:p w14:paraId="5B2F0DD3" w14:textId="77777777" w:rsidR="004B2EA9" w:rsidRPr="004B2EA9" w:rsidRDefault="004B2EA9" w:rsidP="004B2EA9">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4B2EA9">
        <w:rPr>
          <w:rFonts w:ascii="Arial" w:eastAsia="Times New Roman" w:hAnsi="Arial" w:cs="Arial"/>
          <w:color w:val="000000"/>
          <w:kern w:val="0"/>
          <w:sz w:val="34"/>
          <w:szCs w:val="34"/>
          <w:lang w:eastAsia="es-UY"/>
          <w14:ligatures w14:val="none"/>
        </w:rPr>
        <w:t>Impacto de las renovables en el consumidor y la industria </w:t>
      </w:r>
    </w:p>
    <w:p w14:paraId="3732341D" w14:textId="77777777" w:rsidR="004B2EA9" w:rsidRPr="004B2EA9" w:rsidRDefault="004B2EA9" w:rsidP="004B2EA9">
      <w:pPr>
        <w:shd w:val="clear" w:color="auto" w:fill="FFFFFF"/>
        <w:spacing w:after="8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 xml:space="preserve">El avance de las energías renovables está redefiniendo el </w:t>
      </w:r>
      <w:r w:rsidRPr="004B2EA9">
        <w:rPr>
          <w:rFonts w:ascii="Arial" w:eastAsia="Times New Roman" w:hAnsi="Arial" w:cs="Arial"/>
          <w:b/>
          <w:bCs/>
          <w:color w:val="000000"/>
          <w:kern w:val="0"/>
          <w:lang w:eastAsia="es-UY"/>
          <w14:ligatures w14:val="none"/>
        </w:rPr>
        <w:t>consumo energético de hogares e industria</w:t>
      </w:r>
      <w:r w:rsidRPr="004B2EA9">
        <w:rPr>
          <w:rFonts w:ascii="Arial" w:eastAsia="Times New Roman" w:hAnsi="Arial" w:cs="Arial"/>
          <w:color w:val="000000"/>
          <w:kern w:val="0"/>
          <w:lang w:eastAsia="es-UY"/>
          <w14:ligatures w14:val="none"/>
        </w:rPr>
        <w:t>, con un efecto directo en costes, estabilidad y planificación económica. La mayor penetración de generación limpia reduce la dependencia de combustibles fósiles y suaviza la exposición a crisis de</w:t>
      </w:r>
      <w:hyperlink r:id="rId8" w:tgtFrame="_blank" w:history="1">
        <w:r w:rsidRPr="004B2EA9">
          <w:rPr>
            <w:rFonts w:ascii="Arial" w:eastAsia="Times New Roman" w:hAnsi="Arial" w:cs="Arial"/>
            <w:color w:val="1155CC"/>
            <w:kern w:val="0"/>
            <w:u w:val="single"/>
            <w:lang w:eastAsia="es-UY"/>
            <w14:ligatures w14:val="none"/>
          </w:rPr>
          <w:t xml:space="preserve"> precios como las vividas con el gas en los últimos años.</w:t>
        </w:r>
      </w:hyperlink>
    </w:p>
    <w:p w14:paraId="1C061BEC" w14:textId="77777777"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sidRPr="004B2EA9">
        <w:rPr>
          <w:rFonts w:ascii="Arial" w:eastAsia="Times New Roman" w:hAnsi="Arial" w:cs="Arial"/>
          <w:color w:val="000000"/>
          <w:kern w:val="0"/>
          <w:lang w:eastAsia="es-UY"/>
          <w14:ligatures w14:val="none"/>
        </w:rPr>
        <w:t>El</w:t>
      </w:r>
      <w:hyperlink r:id="rId9" w:tgtFrame="_blank" w:history="1">
        <w:r w:rsidRPr="004B2EA9">
          <w:rPr>
            <w:rFonts w:ascii="Arial" w:eastAsia="Times New Roman" w:hAnsi="Arial" w:cs="Arial"/>
            <w:color w:val="000000"/>
            <w:kern w:val="0"/>
            <w:lang w:eastAsia="es-UY"/>
            <w14:ligatures w14:val="none"/>
          </w:rPr>
          <w:t xml:space="preserve"> </w:t>
        </w:r>
        <w:r w:rsidRPr="004B2EA9">
          <w:rPr>
            <w:rFonts w:ascii="Arial" w:eastAsia="Times New Roman" w:hAnsi="Arial" w:cs="Arial"/>
            <w:color w:val="1155CC"/>
            <w:kern w:val="0"/>
            <w:u w:val="single"/>
            <w:lang w:eastAsia="es-UY"/>
            <w14:ligatures w14:val="none"/>
          </w:rPr>
          <w:t>mercado energético</w:t>
        </w:r>
      </w:hyperlink>
      <w:r w:rsidRPr="004B2EA9">
        <w:rPr>
          <w:rFonts w:ascii="Arial" w:eastAsia="Times New Roman" w:hAnsi="Arial" w:cs="Arial"/>
          <w:color w:val="000000"/>
          <w:kern w:val="0"/>
          <w:lang w:eastAsia="es-UY"/>
          <w14:ligatures w14:val="none"/>
        </w:rPr>
        <w:t xml:space="preserve"> evoluciona hacia un modelo más descentralizado, donde la oferta ya no depende únicamente de grandes productores fósiles.</w:t>
      </w:r>
    </w:p>
    <w:p w14:paraId="3169E8FA" w14:textId="77777777" w:rsidR="004B2EA9" w:rsidRPr="004B2EA9" w:rsidRDefault="004B2EA9" w:rsidP="004B2EA9">
      <w:pPr>
        <w:numPr>
          <w:ilvl w:val="0"/>
          <w:numId w:val="4"/>
        </w:numPr>
        <w:spacing w:before="240"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La industria avanza hacia procesos más electrificados y menos intensivos en carbono.</w:t>
      </w:r>
    </w:p>
    <w:p w14:paraId="471B9A28" w14:textId="77777777" w:rsidR="004B2EA9" w:rsidRPr="004B2EA9" w:rsidRDefault="004B2EA9" w:rsidP="004B2EA9">
      <w:pPr>
        <w:numPr>
          <w:ilvl w:val="0"/>
          <w:numId w:val="4"/>
        </w:numPr>
        <w:spacing w:after="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Los hogares incorporan cada vez más soluciones de autoconsumo y eficiencia.</w:t>
      </w:r>
    </w:p>
    <w:p w14:paraId="08F5DA7C" w14:textId="77777777" w:rsidR="004B2EA9" w:rsidRPr="004B2EA9" w:rsidRDefault="004B2EA9" w:rsidP="004B2EA9">
      <w:pPr>
        <w:numPr>
          <w:ilvl w:val="0"/>
          <w:numId w:val="4"/>
        </w:numPr>
        <w:spacing w:after="240" w:line="240" w:lineRule="auto"/>
        <w:ind w:left="945"/>
        <w:jc w:val="both"/>
        <w:textAlignment w:val="baseline"/>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La reducción de la</w:t>
      </w:r>
      <w:hyperlink r:id="rId10" w:tgtFrame="_blank" w:history="1">
        <w:r w:rsidRPr="004B2EA9">
          <w:rPr>
            <w:rFonts w:ascii="Arial" w:eastAsia="Times New Roman" w:hAnsi="Arial" w:cs="Arial"/>
            <w:color w:val="000000"/>
            <w:kern w:val="0"/>
            <w:lang w:eastAsia="es-UY"/>
            <w14:ligatures w14:val="none"/>
          </w:rPr>
          <w:t xml:space="preserve"> </w:t>
        </w:r>
        <w:r w:rsidRPr="004B2EA9">
          <w:rPr>
            <w:rFonts w:ascii="Arial" w:eastAsia="Times New Roman" w:hAnsi="Arial" w:cs="Arial"/>
            <w:color w:val="1155CC"/>
            <w:kern w:val="0"/>
            <w:u w:val="single"/>
            <w:lang w:eastAsia="es-UY"/>
            <w14:ligatures w14:val="none"/>
          </w:rPr>
          <w:t>huella de carbono</w:t>
        </w:r>
      </w:hyperlink>
      <w:r w:rsidRPr="004B2EA9">
        <w:rPr>
          <w:rFonts w:ascii="Arial" w:eastAsia="Times New Roman" w:hAnsi="Arial" w:cs="Arial"/>
          <w:color w:val="000000"/>
          <w:kern w:val="0"/>
          <w:lang w:eastAsia="es-UY"/>
          <w14:ligatures w14:val="none"/>
        </w:rPr>
        <w:t xml:space="preserve"> se convierte en un factor económico además de ambiental.</w:t>
      </w:r>
    </w:p>
    <w:p w14:paraId="5ACB7461" w14:textId="77777777" w:rsidR="004B2EA9" w:rsidRDefault="004B2EA9" w:rsidP="004B2EA9">
      <w:pPr>
        <w:shd w:val="clear" w:color="auto" w:fill="FFFFFF"/>
        <w:spacing w:before="240" w:after="240" w:line="240" w:lineRule="auto"/>
        <w:jc w:val="both"/>
        <w:rPr>
          <w:rFonts w:ascii="Arial" w:eastAsia="Times New Roman" w:hAnsi="Arial" w:cs="Arial"/>
          <w:color w:val="000000"/>
          <w:kern w:val="0"/>
          <w:lang w:eastAsia="es-UY"/>
          <w14:ligatures w14:val="none"/>
        </w:rPr>
      </w:pPr>
      <w:r w:rsidRPr="004B2EA9">
        <w:rPr>
          <w:rFonts w:ascii="Arial" w:eastAsia="Times New Roman" w:hAnsi="Arial" w:cs="Arial"/>
          <w:color w:val="000000"/>
          <w:kern w:val="0"/>
          <w:lang w:eastAsia="es-UY"/>
          <w14:ligatures w14:val="none"/>
        </w:rPr>
        <w:t xml:space="preserve">El resultado es un modelo energético en transformación donde la </w:t>
      </w:r>
      <w:r w:rsidRPr="004B2EA9">
        <w:rPr>
          <w:rFonts w:ascii="Arial" w:eastAsia="Times New Roman" w:hAnsi="Arial" w:cs="Arial"/>
          <w:b/>
          <w:bCs/>
          <w:color w:val="000000"/>
          <w:kern w:val="0"/>
          <w:lang w:eastAsia="es-UY"/>
          <w14:ligatures w14:val="none"/>
        </w:rPr>
        <w:t>competitividad industrial dependerá cada vez más del acceso a energías renovables</w:t>
      </w:r>
      <w:r w:rsidRPr="004B2EA9">
        <w:rPr>
          <w:rFonts w:ascii="Arial" w:eastAsia="Times New Roman" w:hAnsi="Arial" w:cs="Arial"/>
          <w:color w:val="000000"/>
          <w:kern w:val="0"/>
          <w:lang w:eastAsia="es-UY"/>
          <w14:ligatures w14:val="none"/>
        </w:rPr>
        <w:t xml:space="preserve">, de la </w:t>
      </w:r>
      <w:r w:rsidRPr="004B2EA9">
        <w:rPr>
          <w:rFonts w:ascii="Arial" w:eastAsia="Times New Roman" w:hAnsi="Arial" w:cs="Arial"/>
          <w:b/>
          <w:bCs/>
          <w:color w:val="000000"/>
          <w:kern w:val="0"/>
          <w:lang w:eastAsia="es-UY"/>
          <w14:ligatures w14:val="none"/>
        </w:rPr>
        <w:t>resiliencia de las redes eléctricas</w:t>
      </w:r>
      <w:r w:rsidRPr="004B2EA9">
        <w:rPr>
          <w:rFonts w:ascii="Arial" w:eastAsia="Times New Roman" w:hAnsi="Arial" w:cs="Arial"/>
          <w:color w:val="000000"/>
          <w:kern w:val="0"/>
          <w:lang w:eastAsia="es-UY"/>
          <w14:ligatures w14:val="none"/>
        </w:rPr>
        <w:t xml:space="preserve"> y de la </w:t>
      </w:r>
      <w:r w:rsidRPr="004B2EA9">
        <w:rPr>
          <w:rFonts w:ascii="Arial" w:eastAsia="Times New Roman" w:hAnsi="Arial" w:cs="Arial"/>
          <w:b/>
          <w:bCs/>
          <w:color w:val="000000"/>
          <w:kern w:val="0"/>
          <w:lang w:eastAsia="es-UY"/>
          <w14:ligatures w14:val="none"/>
        </w:rPr>
        <w:t>capacidad de adaptación del sistema productivo</w:t>
      </w:r>
      <w:r w:rsidRPr="004B2EA9">
        <w:rPr>
          <w:rFonts w:ascii="Arial" w:eastAsia="Times New Roman" w:hAnsi="Arial" w:cs="Arial"/>
          <w:color w:val="000000"/>
          <w:kern w:val="0"/>
          <w:lang w:eastAsia="es-UY"/>
          <w14:ligatures w14:val="none"/>
        </w:rPr>
        <w:t xml:space="preserve"> a un escenario de descarbonización acelerada.</w:t>
      </w:r>
    </w:p>
    <w:p w14:paraId="36BB89D5" w14:textId="01059BA9" w:rsidR="004B2EA9" w:rsidRPr="004B2EA9" w:rsidRDefault="004B2EA9" w:rsidP="004B2EA9">
      <w:pPr>
        <w:shd w:val="clear" w:color="auto" w:fill="FFFFFF"/>
        <w:spacing w:before="240" w:after="240" w:line="240" w:lineRule="auto"/>
        <w:jc w:val="both"/>
        <w:rPr>
          <w:rFonts w:ascii="Arial" w:eastAsia="Times New Roman" w:hAnsi="Arial" w:cs="Arial"/>
          <w:color w:val="222222"/>
          <w:kern w:val="0"/>
          <w:sz w:val="24"/>
          <w:szCs w:val="24"/>
          <w:lang w:eastAsia="es-UY"/>
          <w14:ligatures w14:val="none"/>
        </w:rPr>
      </w:pPr>
      <w:r>
        <w:rPr>
          <w:rFonts w:ascii="Arial" w:hAnsi="Arial" w:cs="Arial"/>
          <w:color w:val="000000"/>
        </w:rPr>
        <w:lastRenderedPageBreak/>
        <w:t xml:space="preserve">Fuente: </w:t>
      </w:r>
      <w:hyperlink r:id="rId11" w:tgtFrame="_blank" w:history="1">
        <w:r>
          <w:rPr>
            <w:rStyle w:val="Hipervnculo"/>
            <w:rFonts w:ascii="Arial" w:hAnsi="Arial" w:cs="Arial"/>
            <w:color w:val="1155CC"/>
          </w:rPr>
          <w:t>papernest.es</w:t>
        </w:r>
      </w:hyperlink>
    </w:p>
    <w:p w14:paraId="3E918F0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DC1"/>
    <w:multiLevelType w:val="multilevel"/>
    <w:tmpl w:val="3BDA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D50EE"/>
    <w:multiLevelType w:val="multilevel"/>
    <w:tmpl w:val="851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8246E"/>
    <w:multiLevelType w:val="multilevel"/>
    <w:tmpl w:val="B2F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E25E3"/>
    <w:multiLevelType w:val="multilevel"/>
    <w:tmpl w:val="777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206595">
    <w:abstractNumId w:val="1"/>
  </w:num>
  <w:num w:numId="2" w16cid:durableId="545340959">
    <w:abstractNumId w:val="3"/>
  </w:num>
  <w:num w:numId="3" w16cid:durableId="499319200">
    <w:abstractNumId w:val="2"/>
  </w:num>
  <w:num w:numId="4" w16cid:durableId="54926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A9"/>
    <w:rsid w:val="004B2EA9"/>
    <w:rsid w:val="00926044"/>
    <w:rsid w:val="00DE17AC"/>
    <w:rsid w:val="00E437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D80D"/>
  <w15:chartTrackingRefBased/>
  <w15:docId w15:val="{FF01BBB9-9C70-4AA2-9E3D-73E5E989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2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2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2E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2E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2E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2E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2E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2E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2E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2E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2E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2E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2E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2E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2E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2E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2E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2EA9"/>
    <w:rPr>
      <w:rFonts w:eastAsiaTheme="majorEastAsia" w:cstheme="majorBidi"/>
      <w:color w:val="272727" w:themeColor="text1" w:themeTint="D8"/>
    </w:rPr>
  </w:style>
  <w:style w:type="paragraph" w:styleId="Ttulo">
    <w:name w:val="Title"/>
    <w:basedOn w:val="Normal"/>
    <w:next w:val="Normal"/>
    <w:link w:val="TtuloCar"/>
    <w:uiPriority w:val="10"/>
    <w:qFormat/>
    <w:rsid w:val="004B2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2E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2E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2E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2EA9"/>
    <w:pPr>
      <w:spacing w:before="160"/>
      <w:jc w:val="center"/>
    </w:pPr>
    <w:rPr>
      <w:i/>
      <w:iCs/>
      <w:color w:val="404040" w:themeColor="text1" w:themeTint="BF"/>
    </w:rPr>
  </w:style>
  <w:style w:type="character" w:customStyle="1" w:styleId="CitaCar">
    <w:name w:val="Cita Car"/>
    <w:basedOn w:val="Fuentedeprrafopredeter"/>
    <w:link w:val="Cita"/>
    <w:uiPriority w:val="29"/>
    <w:rsid w:val="004B2EA9"/>
    <w:rPr>
      <w:i/>
      <w:iCs/>
      <w:color w:val="404040" w:themeColor="text1" w:themeTint="BF"/>
    </w:rPr>
  </w:style>
  <w:style w:type="paragraph" w:styleId="Prrafodelista">
    <w:name w:val="List Paragraph"/>
    <w:basedOn w:val="Normal"/>
    <w:uiPriority w:val="34"/>
    <w:qFormat/>
    <w:rsid w:val="004B2EA9"/>
    <w:pPr>
      <w:ind w:left="720"/>
      <w:contextualSpacing/>
    </w:pPr>
  </w:style>
  <w:style w:type="character" w:styleId="nfasisintenso">
    <w:name w:val="Intense Emphasis"/>
    <w:basedOn w:val="Fuentedeprrafopredeter"/>
    <w:uiPriority w:val="21"/>
    <w:qFormat/>
    <w:rsid w:val="004B2EA9"/>
    <w:rPr>
      <w:i/>
      <w:iCs/>
      <w:color w:val="0F4761" w:themeColor="accent1" w:themeShade="BF"/>
    </w:rPr>
  </w:style>
  <w:style w:type="paragraph" w:styleId="Citadestacada">
    <w:name w:val="Intense Quote"/>
    <w:basedOn w:val="Normal"/>
    <w:next w:val="Normal"/>
    <w:link w:val="CitadestacadaCar"/>
    <w:uiPriority w:val="30"/>
    <w:qFormat/>
    <w:rsid w:val="004B2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2EA9"/>
    <w:rPr>
      <w:i/>
      <w:iCs/>
      <w:color w:val="0F4761" w:themeColor="accent1" w:themeShade="BF"/>
    </w:rPr>
  </w:style>
  <w:style w:type="character" w:styleId="Referenciaintensa">
    <w:name w:val="Intense Reference"/>
    <w:basedOn w:val="Fuentedeprrafopredeter"/>
    <w:uiPriority w:val="32"/>
    <w:qFormat/>
    <w:rsid w:val="004B2EA9"/>
    <w:rPr>
      <w:b/>
      <w:bCs/>
      <w:smallCaps/>
      <w:color w:val="0F4761" w:themeColor="accent1" w:themeShade="BF"/>
      <w:spacing w:val="5"/>
    </w:rPr>
  </w:style>
  <w:style w:type="character" w:styleId="Hipervnculo">
    <w:name w:val="Hyperlink"/>
    <w:basedOn w:val="Fuentedeprrafopredeter"/>
    <w:uiPriority w:val="99"/>
    <w:semiHidden/>
    <w:unhideWhenUsed/>
    <w:rsid w:val="004B2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precio-gas-natur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pernest.es/info/renovables/cambio-climatico-energ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renovables/energia-solar/" TargetMode="External"/><Relationship Id="rId11" Type="http://schemas.openxmlformats.org/officeDocument/2006/relationships/hyperlink" Target="http://papernest.es/" TargetMode="External"/><Relationship Id="rId5" Type="http://schemas.openxmlformats.org/officeDocument/2006/relationships/hyperlink" Target="https://www.papernest.es/info/renovables/" TargetMode="External"/><Relationship Id="rId10" Type="http://schemas.openxmlformats.org/officeDocument/2006/relationships/hyperlink" Target="https://www.papernest.es/info/huella-carbono/" TargetMode="External"/><Relationship Id="rId4" Type="http://schemas.openxmlformats.org/officeDocument/2006/relationships/webSettings" Target="webSettings.xml"/><Relationship Id="rId9" Type="http://schemas.openxmlformats.org/officeDocument/2006/relationships/hyperlink" Target="https://www.papernest.es/info/mercado-energe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4842</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2026-04-27T18:19:00Z</dcterms:created>
  <dcterms:modified xsi:type="dcterms:W3CDTF">2026-04-27T18:20:00Z</dcterms:modified>
</cp:coreProperties>
</file>