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0BA3" w14:textId="44CF8012" w:rsidR="00815652" w:rsidRDefault="00815652" w:rsidP="00815652">
      <w:pPr>
        <w:spacing w:after="0" w:line="240" w:lineRule="auto"/>
        <w:jc w:val="both"/>
        <w:textAlignment w:val="top"/>
        <w:rPr>
          <w:rFonts w:ascii="Arial" w:eastAsia="Times New Roman" w:hAnsi="Arial" w:cs="Arial"/>
          <w:color w:val="333333"/>
          <w:kern w:val="0"/>
          <w:sz w:val="21"/>
          <w:szCs w:val="21"/>
          <w:lang w:eastAsia="es-UY"/>
          <w14:ligatures w14:val="none"/>
        </w:rPr>
      </w:pPr>
      <w:r w:rsidRPr="00815652">
        <w:rPr>
          <w:rFonts w:ascii="Arial" w:eastAsia="Times New Roman" w:hAnsi="Arial" w:cs="Arial"/>
          <w:color w:val="333333"/>
          <w:kern w:val="0"/>
          <w:sz w:val="21"/>
          <w:szCs w:val="21"/>
          <w:lang w:eastAsia="es-UY"/>
          <w14:ligatures w14:val="none"/>
        </w:rPr>
        <w:drawing>
          <wp:inline distT="0" distB="0" distL="0" distR="0" wp14:anchorId="6771172A" wp14:editId="58D5B339">
            <wp:extent cx="5400040" cy="1547495"/>
            <wp:effectExtent l="0" t="0" r="0" b="0"/>
            <wp:docPr id="15353772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77209" name=""/>
                    <pic:cNvPicPr/>
                  </pic:nvPicPr>
                  <pic:blipFill>
                    <a:blip r:embed="rId5"/>
                    <a:stretch>
                      <a:fillRect/>
                    </a:stretch>
                  </pic:blipFill>
                  <pic:spPr>
                    <a:xfrm>
                      <a:off x="0" y="0"/>
                      <a:ext cx="5400040" cy="1547495"/>
                    </a:xfrm>
                    <a:prstGeom prst="rect">
                      <a:avLst/>
                    </a:prstGeom>
                  </pic:spPr>
                </pic:pic>
              </a:graphicData>
            </a:graphic>
          </wp:inline>
        </w:drawing>
      </w:r>
    </w:p>
    <w:p w14:paraId="447AFFBA" w14:textId="77777777" w:rsidR="00815652" w:rsidRDefault="00815652" w:rsidP="00815652">
      <w:pPr>
        <w:spacing w:after="0" w:line="240" w:lineRule="auto"/>
        <w:jc w:val="both"/>
        <w:textAlignment w:val="top"/>
        <w:rPr>
          <w:rFonts w:ascii="Arial" w:eastAsia="Times New Roman" w:hAnsi="Arial" w:cs="Arial"/>
          <w:color w:val="333333"/>
          <w:kern w:val="0"/>
          <w:sz w:val="21"/>
          <w:szCs w:val="21"/>
          <w:lang w:eastAsia="es-UY"/>
          <w14:ligatures w14:val="none"/>
        </w:rPr>
      </w:pPr>
    </w:p>
    <w:p w14:paraId="74F1D360" w14:textId="0C37671A" w:rsidR="00815652" w:rsidRPr="00815652" w:rsidRDefault="00815652" w:rsidP="00815652">
      <w:pPr>
        <w:spacing w:after="0" w:line="240" w:lineRule="auto"/>
        <w:jc w:val="both"/>
        <w:textAlignment w:val="top"/>
        <w:rPr>
          <w:rFonts w:ascii="Arial" w:eastAsia="Times New Roman" w:hAnsi="Arial" w:cs="Arial"/>
          <w:color w:val="333333"/>
          <w:kern w:val="0"/>
          <w:sz w:val="21"/>
          <w:szCs w:val="21"/>
          <w:lang w:eastAsia="es-UY"/>
          <w14:ligatures w14:val="none"/>
        </w:rPr>
      </w:pPr>
      <w:r w:rsidRPr="00815652">
        <w:rPr>
          <w:rFonts w:ascii="Arial" w:eastAsia="Times New Roman" w:hAnsi="Arial" w:cs="Arial"/>
          <w:color w:val="333333"/>
          <w:kern w:val="0"/>
          <w:sz w:val="21"/>
          <w:szCs w:val="21"/>
          <w:lang w:eastAsia="es-UY"/>
          <w14:ligatures w14:val="none"/>
        </w:rPr>
        <w:t>6 de mayo de 2026</w:t>
      </w:r>
    </w:p>
    <w:p w14:paraId="7C46F8EA"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 </w:t>
      </w:r>
    </w:p>
    <w:p w14:paraId="49C830B4" w14:textId="77777777" w:rsid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El documento del grupo coordinado por el Cardenal </w:t>
      </w:r>
      <w:r w:rsidRPr="00815652">
        <w:rPr>
          <w:rFonts w:ascii="Arial" w:eastAsia="Times New Roman" w:hAnsi="Arial" w:cs="Arial"/>
          <w:b/>
          <w:bCs/>
          <w:color w:val="333333"/>
          <w:kern w:val="0"/>
          <w:sz w:val="26"/>
          <w:szCs w:val="26"/>
          <w:lang w:eastAsia="es-UY"/>
          <w14:ligatures w14:val="none"/>
        </w:rPr>
        <w:t>Castillo</w:t>
      </w:r>
      <w:r w:rsidRPr="00815652">
        <w:rPr>
          <w:rFonts w:ascii="Arial" w:eastAsia="Times New Roman" w:hAnsi="Arial" w:cs="Arial"/>
          <w:color w:val="333333"/>
          <w:kern w:val="0"/>
          <w:sz w:val="26"/>
          <w:szCs w:val="26"/>
          <w:lang w:eastAsia="es-UY"/>
          <w14:ligatures w14:val="none"/>
        </w:rPr>
        <w:t> introduce el "principio de </w:t>
      </w:r>
      <w:hyperlink r:id="rId6" w:tgtFrame="_blank" w:history="1">
        <w:r w:rsidRPr="00815652">
          <w:rPr>
            <w:rFonts w:ascii="Arial" w:eastAsia="Times New Roman" w:hAnsi="Arial" w:cs="Arial"/>
            <w:color w:val="FC6B01"/>
            <w:kern w:val="0"/>
            <w:sz w:val="26"/>
            <w:szCs w:val="26"/>
            <w:u w:val="single"/>
            <w:lang w:eastAsia="es-UY"/>
            <w14:ligatures w14:val="none"/>
          </w:rPr>
          <w:t>la pastoral</w:t>
        </w:r>
      </w:hyperlink>
      <w:r w:rsidRPr="00815652">
        <w:rPr>
          <w:rFonts w:ascii="Arial" w:eastAsia="Times New Roman" w:hAnsi="Arial" w:cs="Arial"/>
          <w:color w:val="333333"/>
          <w:kern w:val="0"/>
          <w:sz w:val="26"/>
          <w:szCs w:val="26"/>
          <w:lang w:eastAsia="es-UY"/>
          <w14:ligatures w14:val="none"/>
        </w:rPr>
        <w:t> " y propone tres pasos metodológicos: "escucharnos a nosotros mismos, escuchar la realidad y recurrir al conocimiento", partiendo de la premisa de que "  </w:t>
      </w:r>
      <w:hyperlink r:id="rId7" w:tgtFrame="_blank" w:history="1">
        <w:r w:rsidRPr="00815652">
          <w:rPr>
            <w:rFonts w:ascii="Arial" w:eastAsia="Times New Roman" w:hAnsi="Arial" w:cs="Arial"/>
            <w:color w:val="FC6B01"/>
            <w:kern w:val="0"/>
            <w:sz w:val="26"/>
            <w:szCs w:val="26"/>
            <w:u w:val="single"/>
            <w:lang w:eastAsia="es-UY"/>
            <w14:ligatures w14:val="none"/>
          </w:rPr>
          <w:t>el diálogo en el Espíritu</w:t>
        </w:r>
      </w:hyperlink>
      <w:r w:rsidRPr="00815652">
        <w:rPr>
          <w:rFonts w:ascii="Arial" w:eastAsia="Times New Roman" w:hAnsi="Arial" w:cs="Arial"/>
          <w:color w:val="333333"/>
          <w:kern w:val="0"/>
          <w:sz w:val="26"/>
          <w:szCs w:val="26"/>
          <w:lang w:eastAsia="es-UY"/>
          <w14:ligatures w14:val="none"/>
        </w:rPr>
        <w:t> sigue siendo el instrumento privilegiado para el desarrollo de una cultura eclesial de </w:t>
      </w:r>
      <w:r w:rsidRPr="00815652">
        <w:rPr>
          <w:rFonts w:ascii="Arial" w:eastAsia="Times New Roman" w:hAnsi="Arial" w:cs="Arial"/>
          <w:b/>
          <w:bCs/>
          <w:color w:val="333333"/>
          <w:kern w:val="0"/>
          <w:sz w:val="26"/>
          <w:szCs w:val="26"/>
          <w:lang w:eastAsia="es-UY"/>
          <w14:ligatures w14:val="none"/>
        </w:rPr>
        <w:t>sinodalidad</w:t>
      </w:r>
      <w:r w:rsidRPr="00815652">
        <w:rPr>
          <w:rFonts w:ascii="Arial" w:eastAsia="Times New Roman" w:hAnsi="Arial" w:cs="Arial"/>
          <w:color w:val="333333"/>
          <w:kern w:val="0"/>
          <w:sz w:val="26"/>
          <w:szCs w:val="26"/>
          <w:lang w:eastAsia="es-UY"/>
          <w14:ligatures w14:val="none"/>
        </w:rPr>
        <w:t> ".</w:t>
      </w:r>
    </w:p>
    <w:p w14:paraId="31FA3CA9"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p>
    <w:p w14:paraId="2001416F" w14:textId="77777777" w:rsid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Este informe es de  </w:t>
      </w:r>
      <w:r w:rsidRPr="00815652">
        <w:rPr>
          <w:rFonts w:ascii="Arial" w:eastAsia="Times New Roman" w:hAnsi="Arial" w:cs="Arial"/>
          <w:b/>
          <w:bCs/>
          <w:color w:val="333333"/>
          <w:kern w:val="0"/>
          <w:sz w:val="26"/>
          <w:szCs w:val="26"/>
          <w:lang w:eastAsia="es-UY"/>
          <w14:ligatures w14:val="none"/>
        </w:rPr>
        <w:t>Jesús Bastante</w:t>
      </w:r>
      <w:r w:rsidRPr="00815652">
        <w:rPr>
          <w:rFonts w:ascii="Arial" w:eastAsia="Times New Roman" w:hAnsi="Arial" w:cs="Arial"/>
          <w:color w:val="333333"/>
          <w:kern w:val="0"/>
          <w:sz w:val="26"/>
          <w:szCs w:val="26"/>
          <w:lang w:eastAsia="es-UY"/>
          <w14:ligatures w14:val="none"/>
        </w:rPr>
        <w:t> , publicado por  </w:t>
      </w:r>
      <w:hyperlink r:id="rId8" w:tgtFrame="_blank" w:history="1">
        <w:r w:rsidRPr="00815652">
          <w:rPr>
            <w:rFonts w:ascii="Arial" w:eastAsia="Times New Roman" w:hAnsi="Arial" w:cs="Arial"/>
            <w:color w:val="FC6B01"/>
            <w:kern w:val="0"/>
            <w:sz w:val="26"/>
            <w:szCs w:val="26"/>
            <w:u w:val="single"/>
            <w:lang w:eastAsia="es-UY"/>
            <w14:ligatures w14:val="none"/>
          </w:rPr>
          <w:t>Religión Digital</w:t>
        </w:r>
      </w:hyperlink>
      <w:r w:rsidRPr="00815652">
        <w:rPr>
          <w:rFonts w:ascii="Arial" w:eastAsia="Times New Roman" w:hAnsi="Arial" w:cs="Arial"/>
          <w:color w:val="333333"/>
          <w:kern w:val="0"/>
          <w:sz w:val="26"/>
          <w:szCs w:val="26"/>
          <w:lang w:eastAsia="es-UY"/>
          <w14:ligatures w14:val="none"/>
        </w:rPr>
        <w:t> el 5 de mayo de 2026.</w:t>
      </w:r>
    </w:p>
    <w:p w14:paraId="604DBCA7"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p>
    <w:p w14:paraId="6B380335" w14:textId="77777777" w:rsid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¿Cómo es posible valorar </w:t>
      </w:r>
      <w:r w:rsidRPr="00815652">
        <w:rPr>
          <w:rFonts w:ascii="Arial" w:eastAsia="Times New Roman" w:hAnsi="Arial" w:cs="Arial"/>
          <w:b/>
          <w:bCs/>
          <w:color w:val="333333"/>
          <w:kern w:val="0"/>
          <w:sz w:val="26"/>
          <w:szCs w:val="26"/>
          <w:lang w:eastAsia="es-UY"/>
          <w14:ligatures w14:val="none"/>
        </w:rPr>
        <w:t>la diversidad cultural</w:t>
      </w:r>
      <w:r w:rsidRPr="00815652">
        <w:rPr>
          <w:rFonts w:ascii="Arial" w:eastAsia="Times New Roman" w:hAnsi="Arial" w:cs="Arial"/>
          <w:color w:val="333333"/>
          <w:kern w:val="0"/>
          <w:sz w:val="26"/>
          <w:szCs w:val="26"/>
          <w:lang w:eastAsia="es-UY"/>
          <w14:ligatures w14:val="none"/>
        </w:rPr>
        <w:t> sin traicionar la novedad del Evangelio? El </w:t>
      </w:r>
      <w:r w:rsidRPr="00815652">
        <w:rPr>
          <w:rFonts w:ascii="Arial" w:eastAsia="Times New Roman" w:hAnsi="Arial" w:cs="Arial"/>
          <w:b/>
          <w:bCs/>
          <w:color w:val="333333"/>
          <w:kern w:val="0"/>
          <w:sz w:val="26"/>
          <w:szCs w:val="26"/>
          <w:lang w:eastAsia="es-UY"/>
          <w14:ligatures w14:val="none"/>
        </w:rPr>
        <w:t>Vaticano</w:t>
      </w:r>
      <w:r w:rsidRPr="00815652">
        <w:rPr>
          <w:rFonts w:ascii="Arial" w:eastAsia="Times New Roman" w:hAnsi="Arial" w:cs="Arial"/>
          <w:color w:val="333333"/>
          <w:kern w:val="0"/>
          <w:sz w:val="26"/>
          <w:szCs w:val="26"/>
          <w:lang w:eastAsia="es-UY"/>
          <w14:ligatures w14:val="none"/>
        </w:rPr>
        <w:t> presentó el informe final del </w:t>
      </w:r>
      <w:hyperlink r:id="rId9" w:tgtFrame="_blank" w:history="1">
        <w:r w:rsidRPr="00815652">
          <w:rPr>
            <w:rFonts w:ascii="Arial" w:eastAsia="Times New Roman" w:hAnsi="Arial" w:cs="Arial"/>
            <w:color w:val="FC6B01"/>
            <w:kern w:val="0"/>
            <w:sz w:val="26"/>
            <w:szCs w:val="26"/>
            <w:u w:val="single"/>
            <w:lang w:eastAsia="es-UY"/>
            <w14:ligatures w14:val="none"/>
          </w:rPr>
          <w:t>Grupo de Estudio 9</w:t>
        </w:r>
      </w:hyperlink>
      <w:r w:rsidRPr="00815652">
        <w:rPr>
          <w:rFonts w:ascii="Arial" w:eastAsia="Times New Roman" w:hAnsi="Arial" w:cs="Arial"/>
          <w:color w:val="333333"/>
          <w:kern w:val="0"/>
          <w:sz w:val="26"/>
          <w:szCs w:val="26"/>
          <w:lang w:eastAsia="es-UY"/>
          <w14:ligatures w14:val="none"/>
        </w:rPr>
        <w:t> , coordinado por el Cardenal </w:t>
      </w:r>
      <w:hyperlink r:id="rId10" w:tgtFrame="_blank" w:history="1">
        <w:r w:rsidRPr="00815652">
          <w:rPr>
            <w:rFonts w:ascii="Arial" w:eastAsia="Times New Roman" w:hAnsi="Arial" w:cs="Arial"/>
            <w:color w:val="FC6B01"/>
            <w:kern w:val="0"/>
            <w:sz w:val="26"/>
            <w:szCs w:val="26"/>
            <w:u w:val="single"/>
            <w:lang w:eastAsia="es-UY"/>
            <w14:ligatures w14:val="none"/>
          </w:rPr>
          <w:t>Carlos Castillo</w:t>
        </w:r>
      </w:hyperlink>
      <w:r w:rsidRPr="00815652">
        <w:rPr>
          <w:rFonts w:ascii="Arial" w:eastAsia="Times New Roman" w:hAnsi="Arial" w:cs="Arial"/>
          <w:color w:val="333333"/>
          <w:kern w:val="0"/>
          <w:sz w:val="26"/>
          <w:szCs w:val="26"/>
          <w:lang w:eastAsia="es-UY"/>
          <w14:ligatures w14:val="none"/>
        </w:rPr>
        <w:t> de Lima . Este informe, dedicado a «las cuestiones doctrinales, pastorales y éticas más difíciles», propone «un cambio de paradigma en la manera en que la </w:t>
      </w:r>
      <w:r w:rsidRPr="00815652">
        <w:rPr>
          <w:rFonts w:ascii="Arial" w:eastAsia="Times New Roman" w:hAnsi="Arial" w:cs="Arial"/>
          <w:b/>
          <w:bCs/>
          <w:color w:val="333333"/>
          <w:kern w:val="0"/>
          <w:sz w:val="26"/>
          <w:szCs w:val="26"/>
          <w:lang w:eastAsia="es-UY"/>
          <w14:ligatures w14:val="none"/>
        </w:rPr>
        <w:t>Iglesia</w:t>
      </w:r>
      <w:r w:rsidRPr="00815652">
        <w:rPr>
          <w:rFonts w:ascii="Arial" w:eastAsia="Times New Roman" w:hAnsi="Arial" w:cs="Arial"/>
          <w:color w:val="333333"/>
          <w:kern w:val="0"/>
          <w:sz w:val="26"/>
          <w:szCs w:val="26"/>
          <w:lang w:eastAsia="es-UY"/>
          <w14:ligatures w14:val="none"/>
        </w:rPr>
        <w:t> aborda» estos temas. En concreto, el informe destaca dos de ellos: «la experiencia de </w:t>
      </w:r>
      <w:hyperlink r:id="rId11" w:tgtFrame="_blank" w:history="1">
        <w:r w:rsidRPr="00815652">
          <w:rPr>
            <w:rFonts w:ascii="Arial" w:eastAsia="Times New Roman" w:hAnsi="Arial" w:cs="Arial"/>
            <w:color w:val="FC6B01"/>
            <w:kern w:val="0"/>
            <w:sz w:val="26"/>
            <w:szCs w:val="26"/>
            <w:u w:val="single"/>
            <w:lang w:eastAsia="es-UY"/>
            <w14:ligatures w14:val="none"/>
          </w:rPr>
          <w:t>los fieles homosexuales y lesbianas</w:t>
        </w:r>
      </w:hyperlink>
      <w:r w:rsidRPr="00815652">
        <w:rPr>
          <w:rFonts w:ascii="Arial" w:eastAsia="Times New Roman" w:hAnsi="Arial" w:cs="Arial"/>
          <w:color w:val="333333"/>
          <w:kern w:val="0"/>
          <w:sz w:val="26"/>
          <w:szCs w:val="26"/>
          <w:lang w:eastAsia="es-UY"/>
          <w14:ligatures w14:val="none"/>
        </w:rPr>
        <w:t> y la experiencia de </w:t>
      </w:r>
      <w:r w:rsidRPr="00815652">
        <w:rPr>
          <w:rFonts w:ascii="Arial" w:eastAsia="Times New Roman" w:hAnsi="Arial" w:cs="Arial"/>
          <w:b/>
          <w:bCs/>
          <w:color w:val="333333"/>
          <w:kern w:val="0"/>
          <w:sz w:val="26"/>
          <w:szCs w:val="26"/>
          <w:lang w:eastAsia="es-UY"/>
          <w14:ligatures w14:val="none"/>
        </w:rPr>
        <w:t>la no violencia activa</w:t>
      </w:r>
      <w:r w:rsidRPr="00815652">
        <w:rPr>
          <w:rFonts w:ascii="Arial" w:eastAsia="Times New Roman" w:hAnsi="Arial" w:cs="Arial"/>
          <w:color w:val="333333"/>
          <w:kern w:val="0"/>
          <w:sz w:val="26"/>
          <w:szCs w:val="26"/>
          <w:lang w:eastAsia="es-UY"/>
          <w14:ligatures w14:val="none"/>
        </w:rPr>
        <w:t> ».</w:t>
      </w:r>
    </w:p>
    <w:p w14:paraId="5C6763DA"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p>
    <w:p w14:paraId="5EDFF7D2" w14:textId="77777777" w:rsid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 Como explica </w:t>
      </w:r>
      <w:hyperlink r:id="rId12" w:tgtFrame="_blank" w:history="1">
        <w:r w:rsidRPr="00815652">
          <w:rPr>
            <w:rFonts w:ascii="Arial" w:eastAsia="Times New Roman" w:hAnsi="Arial" w:cs="Arial"/>
            <w:color w:val="FC6B01"/>
            <w:kern w:val="0"/>
            <w:sz w:val="26"/>
            <w:szCs w:val="26"/>
            <w:u w:val="single"/>
            <w:lang w:eastAsia="es-UY"/>
            <w14:ligatures w14:val="none"/>
          </w:rPr>
          <w:t>el cardenal Grech</w:t>
        </w:r>
      </w:hyperlink>
      <w:r w:rsidRPr="00815652">
        <w:rPr>
          <w:rFonts w:ascii="Arial" w:eastAsia="Times New Roman" w:hAnsi="Arial" w:cs="Arial"/>
          <w:color w:val="333333"/>
          <w:kern w:val="0"/>
          <w:sz w:val="26"/>
          <w:szCs w:val="26"/>
          <w:lang w:eastAsia="es-UY"/>
          <w14:ligatures w14:val="none"/>
        </w:rPr>
        <w:t> , secretario general del Sínodo, en su resumen, este grupo «nos ofrece herramientas concretas para abordar los problemas más difíciles sin rehuir la complejidad: escuchar a las personas involucradas, interpretar la realidad y recopilar conocimientos. Es el </w:t>
      </w:r>
      <w:r w:rsidRPr="00815652">
        <w:rPr>
          <w:rFonts w:ascii="Arial" w:eastAsia="Times New Roman" w:hAnsi="Arial" w:cs="Arial"/>
          <w:b/>
          <w:bCs/>
          <w:color w:val="333333"/>
          <w:kern w:val="0"/>
          <w:sz w:val="26"/>
          <w:szCs w:val="26"/>
          <w:lang w:eastAsia="es-UY"/>
          <w14:ligatures w14:val="none"/>
        </w:rPr>
        <w:t>método sinodal</w:t>
      </w:r>
      <w:r w:rsidRPr="00815652">
        <w:rPr>
          <w:rFonts w:ascii="Arial" w:eastAsia="Times New Roman" w:hAnsi="Arial" w:cs="Arial"/>
          <w:color w:val="333333"/>
          <w:kern w:val="0"/>
          <w:sz w:val="26"/>
          <w:szCs w:val="26"/>
          <w:lang w:eastAsia="es-UY"/>
          <w14:ligatures w14:val="none"/>
        </w:rPr>
        <w:t> aplicado a las situaciones más exigentes».</w:t>
      </w:r>
    </w:p>
    <w:p w14:paraId="7F30E20B"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p>
    <w:p w14:paraId="51331EF6" w14:textId="77777777" w:rsid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«El punto de partida es una imagen bíblica: los capítulos 10 al 15 de los </w:t>
      </w:r>
      <w:r w:rsidRPr="00815652">
        <w:rPr>
          <w:rFonts w:ascii="Arial" w:eastAsia="Times New Roman" w:hAnsi="Arial" w:cs="Arial"/>
          <w:b/>
          <w:bCs/>
          <w:color w:val="333333"/>
          <w:kern w:val="0"/>
          <w:sz w:val="26"/>
          <w:szCs w:val="26"/>
          <w:lang w:eastAsia="es-UY"/>
          <w14:ligatures w14:val="none"/>
        </w:rPr>
        <w:t>Hechos de los Apóstoles</w:t>
      </w:r>
      <w:r w:rsidRPr="00815652">
        <w:rPr>
          <w:rFonts w:ascii="Arial" w:eastAsia="Times New Roman" w:hAnsi="Arial" w:cs="Arial"/>
          <w:color w:val="333333"/>
          <w:kern w:val="0"/>
          <w:sz w:val="26"/>
          <w:szCs w:val="26"/>
          <w:lang w:eastAsia="es-UY"/>
          <w14:ligatures w14:val="none"/>
        </w:rPr>
        <w:t> , que muestran cómo es posible valorar la diversidad cultural sin traicionar la novedad del Evangelio», destaca el documento, señalando el «idioma» como «una primera opción importante». Así, «el Grupo prefirió hablar de cuestiones “emergentes” en lugar de cuestiones “controvertidas”», porque «el objetivo no es resolver un problema, sino construir el bien común a través de la conversión relacional, el aprendizaje compartido y la transparencia».</w:t>
      </w:r>
    </w:p>
    <w:p w14:paraId="2E93D2DC"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p>
    <w:p w14:paraId="31379DE2" w14:textId="77777777" w:rsid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Así, el documento introduce el “ </w:t>
      </w:r>
      <w:r w:rsidRPr="00815652">
        <w:rPr>
          <w:rFonts w:ascii="Arial" w:eastAsia="Times New Roman" w:hAnsi="Arial" w:cs="Arial"/>
          <w:b/>
          <w:bCs/>
          <w:color w:val="333333"/>
          <w:kern w:val="0"/>
          <w:sz w:val="26"/>
          <w:szCs w:val="26"/>
          <w:lang w:eastAsia="es-UY"/>
          <w14:ligatures w14:val="none"/>
        </w:rPr>
        <w:t>principio de la pastoral</w:t>
      </w:r>
      <w:r w:rsidRPr="00815652">
        <w:rPr>
          <w:rFonts w:ascii="Arial" w:eastAsia="Times New Roman" w:hAnsi="Arial" w:cs="Arial"/>
          <w:color w:val="333333"/>
          <w:kern w:val="0"/>
          <w:sz w:val="26"/>
          <w:szCs w:val="26"/>
          <w:lang w:eastAsia="es-UY"/>
          <w14:ligatures w14:val="none"/>
        </w:rPr>
        <w:t xml:space="preserve"> ”, insistiendo en que “no hay proclamación del Evangelio sin tener en cuenta al interlocutor, </w:t>
      </w:r>
      <w:r w:rsidRPr="00815652">
        <w:rPr>
          <w:rFonts w:ascii="Arial" w:eastAsia="Times New Roman" w:hAnsi="Arial" w:cs="Arial"/>
          <w:color w:val="333333"/>
          <w:kern w:val="0"/>
          <w:sz w:val="26"/>
          <w:szCs w:val="26"/>
          <w:lang w:eastAsia="es-UY"/>
          <w14:ligatures w14:val="none"/>
        </w:rPr>
        <w:lastRenderedPageBreak/>
        <w:t>en quien el Espíritu ya está obrando”. Para abordar estas cuestiones, el grupo propone tres pasos metodológicos: “escucharnos a nosotros mismos, escuchar la realidad y recurrir al conocimiento”, partiendo de la premisa de que “ </w:t>
      </w:r>
      <w:r w:rsidRPr="00815652">
        <w:rPr>
          <w:rFonts w:ascii="Arial" w:eastAsia="Times New Roman" w:hAnsi="Arial" w:cs="Arial"/>
          <w:b/>
          <w:bCs/>
          <w:color w:val="333333"/>
          <w:kern w:val="0"/>
          <w:sz w:val="26"/>
          <w:szCs w:val="26"/>
          <w:lang w:eastAsia="es-UY"/>
          <w14:ligatures w14:val="none"/>
        </w:rPr>
        <w:t>el diálogo en el Espíritu</w:t>
      </w:r>
      <w:r w:rsidRPr="00815652">
        <w:rPr>
          <w:rFonts w:ascii="Arial" w:eastAsia="Times New Roman" w:hAnsi="Arial" w:cs="Arial"/>
          <w:color w:val="333333"/>
          <w:kern w:val="0"/>
          <w:sz w:val="26"/>
          <w:szCs w:val="26"/>
          <w:lang w:eastAsia="es-UY"/>
          <w14:ligatures w14:val="none"/>
        </w:rPr>
        <w:t> sigue siendo el instrumento privilegiado para el desarrollo de una cultura eclesial de </w:t>
      </w:r>
      <w:hyperlink r:id="rId13" w:tgtFrame="_blank" w:history="1">
        <w:r w:rsidRPr="00815652">
          <w:rPr>
            <w:rFonts w:ascii="Arial" w:eastAsia="Times New Roman" w:hAnsi="Arial" w:cs="Arial"/>
            <w:color w:val="FC6B01"/>
            <w:kern w:val="0"/>
            <w:sz w:val="26"/>
            <w:szCs w:val="26"/>
            <w:u w:val="single"/>
            <w:lang w:eastAsia="es-UY"/>
            <w14:ligatures w14:val="none"/>
          </w:rPr>
          <w:t>sinodalidad</w:t>
        </w:r>
      </w:hyperlink>
      <w:r w:rsidRPr="00815652">
        <w:rPr>
          <w:rFonts w:ascii="Arial" w:eastAsia="Times New Roman" w:hAnsi="Arial" w:cs="Arial"/>
          <w:color w:val="333333"/>
          <w:kern w:val="0"/>
          <w:sz w:val="26"/>
          <w:szCs w:val="26"/>
          <w:lang w:eastAsia="es-UY"/>
          <w14:ligatures w14:val="none"/>
        </w:rPr>
        <w:t> ”.</w:t>
      </w:r>
    </w:p>
    <w:p w14:paraId="26C71DDB"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p>
    <w:p w14:paraId="3DB0AAC3" w14:textId="77777777" w:rsidR="00815652" w:rsidRPr="00815652" w:rsidRDefault="00815652" w:rsidP="00815652">
      <w:pPr>
        <w:spacing w:after="0" w:line="240" w:lineRule="auto"/>
        <w:jc w:val="both"/>
        <w:textAlignment w:val="top"/>
        <w:rPr>
          <w:rFonts w:ascii="Arial" w:eastAsia="Times New Roman" w:hAnsi="Arial" w:cs="Arial"/>
          <w:color w:val="333333"/>
          <w:kern w:val="0"/>
          <w:sz w:val="26"/>
          <w:szCs w:val="26"/>
          <w:lang w:eastAsia="es-UY"/>
          <w14:ligatures w14:val="none"/>
        </w:rPr>
      </w:pPr>
      <w:r w:rsidRPr="00815652">
        <w:rPr>
          <w:rFonts w:ascii="Arial" w:eastAsia="Times New Roman" w:hAnsi="Arial" w:cs="Arial"/>
          <w:color w:val="333333"/>
          <w:kern w:val="0"/>
          <w:sz w:val="26"/>
          <w:szCs w:val="26"/>
          <w:lang w:eastAsia="es-UY"/>
          <w14:ligatures w14:val="none"/>
        </w:rPr>
        <w:t>Finalmente, el grupo aplica este método al tema de </w:t>
      </w:r>
      <w:r w:rsidRPr="00815652">
        <w:rPr>
          <w:rFonts w:ascii="Arial" w:eastAsia="Times New Roman" w:hAnsi="Arial" w:cs="Arial"/>
          <w:b/>
          <w:bCs/>
          <w:color w:val="333333"/>
          <w:kern w:val="0"/>
          <w:sz w:val="26"/>
          <w:szCs w:val="26"/>
          <w:lang w:eastAsia="es-UY"/>
          <w14:ligatures w14:val="none"/>
        </w:rPr>
        <w:t>los creyentes LGBTI</w:t>
      </w:r>
      <w:r w:rsidRPr="00815652">
        <w:rPr>
          <w:rFonts w:ascii="Arial" w:eastAsia="Times New Roman" w:hAnsi="Arial" w:cs="Arial"/>
          <w:color w:val="333333"/>
          <w:kern w:val="0"/>
          <w:sz w:val="26"/>
          <w:szCs w:val="26"/>
          <w:lang w:eastAsia="es-UY"/>
          <w14:ligatures w14:val="none"/>
        </w:rPr>
        <w:t> y la experiencia de </w:t>
      </w:r>
      <w:hyperlink r:id="rId14" w:tgtFrame="_blank" w:history="1">
        <w:r w:rsidRPr="00815652">
          <w:rPr>
            <w:rFonts w:ascii="Arial" w:eastAsia="Times New Roman" w:hAnsi="Arial" w:cs="Arial"/>
            <w:color w:val="FC6B01"/>
            <w:kern w:val="0"/>
            <w:sz w:val="26"/>
            <w:szCs w:val="26"/>
            <w:u w:val="single"/>
            <w:lang w:eastAsia="es-UY"/>
            <w14:ligatures w14:val="none"/>
          </w:rPr>
          <w:t>la no violencia activa</w:t>
        </w:r>
      </w:hyperlink>
      <w:r w:rsidRPr="00815652">
        <w:rPr>
          <w:rFonts w:ascii="Arial" w:eastAsia="Times New Roman" w:hAnsi="Arial" w:cs="Arial"/>
          <w:color w:val="333333"/>
          <w:kern w:val="0"/>
          <w:sz w:val="26"/>
          <w:szCs w:val="26"/>
          <w:lang w:eastAsia="es-UY"/>
          <w14:ligatures w14:val="none"/>
        </w:rPr>
        <w:t> , basándose en el testimonio de jóvenes serbios que contribuyeron a la caída pacífica de </w:t>
      </w:r>
      <w:r w:rsidRPr="00815652">
        <w:rPr>
          <w:rFonts w:ascii="Arial" w:eastAsia="Times New Roman" w:hAnsi="Arial" w:cs="Arial"/>
          <w:b/>
          <w:bCs/>
          <w:color w:val="333333"/>
          <w:kern w:val="0"/>
          <w:sz w:val="26"/>
          <w:szCs w:val="26"/>
          <w:lang w:eastAsia="es-UY"/>
          <w14:ligatures w14:val="none"/>
        </w:rPr>
        <w:t>Milošević</w:t>
      </w:r>
      <w:r w:rsidRPr="00815652">
        <w:rPr>
          <w:rFonts w:ascii="Arial" w:eastAsia="Times New Roman" w:hAnsi="Arial" w:cs="Arial"/>
          <w:color w:val="333333"/>
          <w:kern w:val="0"/>
          <w:sz w:val="26"/>
          <w:szCs w:val="26"/>
          <w:lang w:eastAsia="es-UY"/>
          <w14:ligatures w14:val="none"/>
        </w:rPr>
        <w:t> . En ambos casos, «el grupo no emite pronunciamientos concluyentes, sino que, partiendo de la escucha directa de testimonios concretos, propone vías de discernimiento ético-teológico y preguntas abiertas, para que cada comunidad pueda asumir “el compromiso de reconocer y promover el bien con que Dios actúa en la historia y en la experiencia de las personas”».</w:t>
      </w:r>
    </w:p>
    <w:p w14:paraId="5119C53E" w14:textId="77777777" w:rsidR="00926044" w:rsidRDefault="00926044"/>
    <w:p w14:paraId="5316F54D" w14:textId="792D6C6E" w:rsidR="00815652" w:rsidRDefault="00815652">
      <w:hyperlink r:id="rId15" w:history="1">
        <w:r w:rsidRPr="00D506C2">
          <w:rPr>
            <w:rStyle w:val="Hipervnculo"/>
          </w:rPr>
          <w:t>https://www.ihu.unisinos.br/665608-o-sinodo-apela-a-uma-mudanca-paradigmatica-na-forma-como-a-igreja-aborda-as-questoes-doutrinais-pastorais-e-eticas-mais-dificeis-como-as-que-dizem-respeito-aos-fieis-lgbtqia</w:t>
        </w:r>
      </w:hyperlink>
    </w:p>
    <w:p w14:paraId="37F5554C" w14:textId="77777777" w:rsidR="00815652" w:rsidRDefault="00815652"/>
    <w:sectPr w:rsidR="008156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07DA"/>
    <w:multiLevelType w:val="multilevel"/>
    <w:tmpl w:val="BDA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612C1"/>
    <w:multiLevelType w:val="multilevel"/>
    <w:tmpl w:val="1C6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864A8"/>
    <w:multiLevelType w:val="multilevel"/>
    <w:tmpl w:val="80A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533171">
    <w:abstractNumId w:val="1"/>
  </w:num>
  <w:num w:numId="2" w16cid:durableId="1423453948">
    <w:abstractNumId w:val="2"/>
  </w:num>
  <w:num w:numId="3" w16cid:durableId="200704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52"/>
    <w:rsid w:val="00815652"/>
    <w:rsid w:val="00926044"/>
    <w:rsid w:val="00DE17AC"/>
    <w:rsid w:val="00EA4B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F4DF"/>
  <w15:chartTrackingRefBased/>
  <w15:docId w15:val="{CC86A31C-317A-4838-9221-B6DC8308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56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56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56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56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56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56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56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6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56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56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56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56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56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56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56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5652"/>
    <w:rPr>
      <w:rFonts w:eastAsiaTheme="majorEastAsia" w:cstheme="majorBidi"/>
      <w:color w:val="272727" w:themeColor="text1" w:themeTint="D8"/>
    </w:rPr>
  </w:style>
  <w:style w:type="paragraph" w:styleId="Ttulo">
    <w:name w:val="Title"/>
    <w:basedOn w:val="Normal"/>
    <w:next w:val="Normal"/>
    <w:link w:val="TtuloCar"/>
    <w:uiPriority w:val="10"/>
    <w:qFormat/>
    <w:rsid w:val="0081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56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56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56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5652"/>
    <w:pPr>
      <w:spacing w:before="160"/>
      <w:jc w:val="center"/>
    </w:pPr>
    <w:rPr>
      <w:i/>
      <w:iCs/>
      <w:color w:val="404040" w:themeColor="text1" w:themeTint="BF"/>
    </w:rPr>
  </w:style>
  <w:style w:type="character" w:customStyle="1" w:styleId="CitaCar">
    <w:name w:val="Cita Car"/>
    <w:basedOn w:val="Fuentedeprrafopredeter"/>
    <w:link w:val="Cita"/>
    <w:uiPriority w:val="29"/>
    <w:rsid w:val="00815652"/>
    <w:rPr>
      <w:i/>
      <w:iCs/>
      <w:color w:val="404040" w:themeColor="text1" w:themeTint="BF"/>
    </w:rPr>
  </w:style>
  <w:style w:type="paragraph" w:styleId="Prrafodelista">
    <w:name w:val="List Paragraph"/>
    <w:basedOn w:val="Normal"/>
    <w:uiPriority w:val="34"/>
    <w:qFormat/>
    <w:rsid w:val="00815652"/>
    <w:pPr>
      <w:ind w:left="720"/>
      <w:contextualSpacing/>
    </w:pPr>
  </w:style>
  <w:style w:type="character" w:styleId="nfasisintenso">
    <w:name w:val="Intense Emphasis"/>
    <w:basedOn w:val="Fuentedeprrafopredeter"/>
    <w:uiPriority w:val="21"/>
    <w:qFormat/>
    <w:rsid w:val="00815652"/>
    <w:rPr>
      <w:i/>
      <w:iCs/>
      <w:color w:val="0F4761" w:themeColor="accent1" w:themeShade="BF"/>
    </w:rPr>
  </w:style>
  <w:style w:type="paragraph" w:styleId="Citadestacada">
    <w:name w:val="Intense Quote"/>
    <w:basedOn w:val="Normal"/>
    <w:next w:val="Normal"/>
    <w:link w:val="CitadestacadaCar"/>
    <w:uiPriority w:val="30"/>
    <w:qFormat/>
    <w:rsid w:val="0081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5652"/>
    <w:rPr>
      <w:i/>
      <w:iCs/>
      <w:color w:val="0F4761" w:themeColor="accent1" w:themeShade="BF"/>
    </w:rPr>
  </w:style>
  <w:style w:type="character" w:styleId="Referenciaintensa">
    <w:name w:val="Intense Reference"/>
    <w:basedOn w:val="Fuentedeprrafopredeter"/>
    <w:uiPriority w:val="32"/>
    <w:qFormat/>
    <w:rsid w:val="00815652"/>
    <w:rPr>
      <w:b/>
      <w:bCs/>
      <w:smallCaps/>
      <w:color w:val="0F4761" w:themeColor="accent1" w:themeShade="BF"/>
      <w:spacing w:val="5"/>
    </w:rPr>
  </w:style>
  <w:style w:type="character" w:styleId="Hipervnculo">
    <w:name w:val="Hyperlink"/>
    <w:basedOn w:val="Fuentedeprrafopredeter"/>
    <w:uiPriority w:val="99"/>
    <w:unhideWhenUsed/>
    <w:rsid w:val="00815652"/>
    <w:rPr>
      <w:color w:val="467886" w:themeColor="hyperlink"/>
      <w:u w:val="single"/>
    </w:rPr>
  </w:style>
  <w:style w:type="character" w:styleId="Mencinsinresolver">
    <w:name w:val="Unresolved Mention"/>
    <w:basedOn w:val="Fuentedeprrafopredeter"/>
    <w:uiPriority w:val="99"/>
    <w:semiHidden/>
    <w:unhideWhenUsed/>
    <w:rsid w:val="00815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 TargetMode="External"/><Relationship Id="rId13" Type="http://schemas.openxmlformats.org/officeDocument/2006/relationships/hyperlink" Target="https://www.ihu.unisinos.br/categorias/653917-sinodalidade-estilo-pastoral-ou-estrutura-constitutiva-da-igreja" TargetMode="External"/><Relationship Id="rId3" Type="http://schemas.openxmlformats.org/officeDocument/2006/relationships/settings" Target="settings.xml"/><Relationship Id="rId7" Type="http://schemas.openxmlformats.org/officeDocument/2006/relationships/hyperlink" Target="https://ihu.unisinos.br/categorias/638897-cardeal-cupich-3-maneiras-como-os-dialogos-no-espirito-do-sinodo-dos-bispos-podem-revolucionar-a-igreja" TargetMode="External"/><Relationship Id="rId12" Type="http://schemas.openxmlformats.org/officeDocument/2006/relationships/hyperlink" Target="https://ihu.unisinos.br/categorias/632684-cardeal-mario-grech-figura-central-no-plano-do-papa-para-mudar-a-igreja-catol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hu.unisinos.br/categorias/645974-a-pastoralidade-da-teologia-artigo-de-matias-soares" TargetMode="External"/><Relationship Id="rId11" Type="http://schemas.openxmlformats.org/officeDocument/2006/relationships/hyperlink" Target="https://ihu.unisinos.br/categorias/657447-james-martin-sj-a-abordagem-de-leao-xiv-aos-catolicos-lgbtq-e-uma-continuacao-da-de-francisco" TargetMode="External"/><Relationship Id="rId5" Type="http://schemas.openxmlformats.org/officeDocument/2006/relationships/image" Target="media/image1.png"/><Relationship Id="rId15" Type="http://schemas.openxmlformats.org/officeDocument/2006/relationships/hyperlink" Target="https://www.ihu.unisinos.br/665608-o-sinodo-apela-a-uma-mudanca-paradigmatica-na-forma-como-a-igreja-aborda-as-questoes-doutrinais-pastorais-e-eticas-mais-dificeis-como-as-que-dizem-respeito-aos-fieis-lgbtqia" TargetMode="External"/><Relationship Id="rId10" Type="http://schemas.openxmlformats.org/officeDocument/2006/relationships/hyperlink" Target="https://ihu.unisinos.br/categorias/645558-carlos-castillo-um-cardeal-incomodo" TargetMode="External"/><Relationship Id="rId4" Type="http://schemas.openxmlformats.org/officeDocument/2006/relationships/webSettings" Target="webSettings.xml"/><Relationship Id="rId9" Type="http://schemas.openxmlformats.org/officeDocument/2006/relationships/hyperlink" Target="https://ihu.unisinos.br/categorias/644534-muito-burburinho-sobre-grupos-de-estudo" TargetMode="External"/><Relationship Id="rId14" Type="http://schemas.openxmlformats.org/officeDocument/2006/relationships/hyperlink" Target="https://www.ihu.unisinos.br/5776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3823</Characters>
  <Application>Microsoft Office Word</Application>
  <DocSecurity>0</DocSecurity>
  <Lines>31</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2026-05-07T14:50:00Z</dcterms:created>
  <dcterms:modified xsi:type="dcterms:W3CDTF">2026-05-07T14:52:00Z</dcterms:modified>
</cp:coreProperties>
</file>