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50B81" w14:textId="77777777" w:rsidR="00665C05" w:rsidRPr="00665C05" w:rsidRDefault="00665C05" w:rsidP="00665C05">
      <w:pPr>
        <w:shd w:val="clear" w:color="auto" w:fill="FFFFFF"/>
        <w:spacing w:after="100" w:afterAutospacing="1" w:line="240" w:lineRule="auto"/>
        <w:outlineLvl w:val="0"/>
        <w:rPr>
          <w:rFonts w:ascii="Arial" w:eastAsia="Times New Roman" w:hAnsi="Arial" w:cs="Arial"/>
          <w:b/>
          <w:bCs/>
          <w:color w:val="003250"/>
          <w:kern w:val="36"/>
          <w:sz w:val="48"/>
          <w:szCs w:val="48"/>
          <w:lang w:eastAsia="es-UY"/>
          <w14:ligatures w14:val="none"/>
        </w:rPr>
      </w:pPr>
      <w:r w:rsidRPr="00665C05">
        <w:rPr>
          <w:rFonts w:ascii="Arial" w:eastAsia="Times New Roman" w:hAnsi="Arial" w:cs="Arial"/>
          <w:b/>
          <w:bCs/>
          <w:color w:val="003250"/>
          <w:kern w:val="36"/>
          <w:sz w:val="48"/>
          <w:szCs w:val="48"/>
          <w:lang w:eastAsia="es-UY"/>
          <w14:ligatures w14:val="none"/>
        </w:rPr>
        <w:t>Los derechos de los Pueblos Indígenas en situaciones de conflicto y posconflicto: un aprendizaje desde Groenlandia</w:t>
      </w:r>
    </w:p>
    <w:p w14:paraId="7BA70CBB" w14:textId="77777777" w:rsidR="00665C05" w:rsidRPr="00665C05" w:rsidRDefault="00665C05" w:rsidP="00665C05">
      <w:pPr>
        <w:shd w:val="clear" w:color="auto" w:fill="FFFFFF"/>
        <w:spacing w:after="0" w:line="240" w:lineRule="auto"/>
        <w:jc w:val="center"/>
        <w:rPr>
          <w:rFonts w:ascii="Arial" w:eastAsia="Times New Roman" w:hAnsi="Arial" w:cs="Arial"/>
          <w:color w:val="1D1D1B"/>
          <w:kern w:val="0"/>
          <w:sz w:val="24"/>
          <w:szCs w:val="24"/>
          <w:lang w:eastAsia="es-UY"/>
          <w14:ligatures w14:val="none"/>
        </w:rPr>
      </w:pPr>
      <w:r w:rsidRPr="00665C05">
        <w:rPr>
          <w:rFonts w:ascii="Arial" w:eastAsia="Times New Roman" w:hAnsi="Arial" w:cs="Arial"/>
          <w:noProof/>
          <w:color w:val="1D1D1B"/>
          <w:kern w:val="0"/>
          <w:sz w:val="24"/>
          <w:szCs w:val="24"/>
          <w:lang w:eastAsia="es-UY"/>
          <w14:ligatures w14:val="none"/>
        </w:rPr>
        <w:drawing>
          <wp:inline distT="0" distB="0" distL="0" distR="0" wp14:anchorId="005370B7" wp14:editId="3F99D914">
            <wp:extent cx="4538458" cy="3403843"/>
            <wp:effectExtent l="0" t="0" r="0" b="0"/>
            <wp:docPr id="1" name="Imagen 6" descr="Imagen destacada de la 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stacada de la not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85247" cy="3438935"/>
                    </a:xfrm>
                    <a:prstGeom prst="rect">
                      <a:avLst/>
                    </a:prstGeom>
                    <a:noFill/>
                    <a:ln>
                      <a:noFill/>
                    </a:ln>
                  </pic:spPr>
                </pic:pic>
              </a:graphicData>
            </a:graphic>
          </wp:inline>
        </w:drawing>
      </w:r>
    </w:p>
    <w:p w14:paraId="52A05CF7" w14:textId="77777777" w:rsidR="00665C05" w:rsidRPr="00665C05" w:rsidRDefault="00665C05" w:rsidP="00665C05">
      <w:pPr>
        <w:shd w:val="clear" w:color="auto" w:fill="FFFFFF"/>
        <w:spacing w:after="100" w:afterAutospacing="1" w:line="240" w:lineRule="auto"/>
        <w:jc w:val="right"/>
        <w:rPr>
          <w:rFonts w:ascii="Arial" w:eastAsia="Times New Roman" w:hAnsi="Arial" w:cs="Arial"/>
          <w:color w:val="1D1D1B"/>
          <w:kern w:val="0"/>
          <w:sz w:val="24"/>
          <w:szCs w:val="24"/>
          <w:lang w:eastAsia="es-UY"/>
          <w14:ligatures w14:val="none"/>
        </w:rPr>
      </w:pPr>
      <w:r w:rsidRPr="00665C05">
        <w:rPr>
          <w:rFonts w:ascii="Arial" w:eastAsia="Times New Roman" w:hAnsi="Arial" w:cs="Arial"/>
          <w:i/>
          <w:iCs/>
          <w:color w:val="1D1D1B"/>
          <w:kern w:val="0"/>
          <w:sz w:val="24"/>
          <w:szCs w:val="24"/>
          <w:lang w:eastAsia="es-UY"/>
          <w14:ligatures w14:val="none"/>
        </w:rPr>
        <w:t>Foto: Alejandro Parellada / IWGIA</w:t>
      </w:r>
    </w:p>
    <w:p w14:paraId="6D1B5375" w14:textId="77777777" w:rsidR="00665C05" w:rsidRPr="00665C05" w:rsidRDefault="00665C05" w:rsidP="00665C05">
      <w:pPr>
        <w:spacing w:after="100" w:afterAutospacing="1" w:line="240" w:lineRule="auto"/>
        <w:rPr>
          <w:rFonts w:ascii="Arial" w:eastAsia="Times New Roman" w:hAnsi="Arial" w:cs="Arial"/>
          <w:color w:val="003250"/>
          <w:kern w:val="0"/>
          <w:sz w:val="24"/>
          <w:szCs w:val="24"/>
          <w:lang w:eastAsia="es-UY"/>
          <w14:ligatures w14:val="none"/>
        </w:rPr>
      </w:pPr>
      <w:r w:rsidRPr="00665C05">
        <w:rPr>
          <w:rFonts w:ascii="Arial" w:eastAsia="Times New Roman" w:hAnsi="Arial" w:cs="Arial"/>
          <w:color w:val="003250"/>
          <w:kern w:val="0"/>
          <w:sz w:val="24"/>
          <w:szCs w:val="24"/>
          <w:lang w:eastAsia="es-UY"/>
          <w14:ligatures w14:val="none"/>
        </w:rPr>
        <w:t>Reconocer la existencia de intereses y aspiraciones diferentes es el punto de partida en cualquier negociación. En Groenlandia, los procesos de negociación se desarrollan en un contexto atravesado por la denominada “guerra por debajo del umbral”, asociada a la competencia por la riqueza de sus recursos naturales. En este contexto, resulta imprescindible que el Estado y los actores involucrados incluyan a los Pueblos Indígenas en la toma de decisiones. Por un lado, para garantizar que la seguridad nacional no se utilice como argumento para vulnerar sus derechos. Por otro lado, porque las organizaciones indígenas pueden aportar soluciones más adecuadas basadas en sus conocimientos desde el territorio.</w:t>
      </w:r>
    </w:p>
    <w:p w14:paraId="4C5DA6A4" w14:textId="77777777" w:rsidR="00665C05" w:rsidRPr="00665C05" w:rsidRDefault="00665C05" w:rsidP="00665C05">
      <w:pPr>
        <w:spacing w:after="100" w:afterAutospacing="1"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kern w:val="0"/>
          <w:sz w:val="24"/>
          <w:szCs w:val="24"/>
          <w:lang w:eastAsia="es-UY"/>
          <w14:ligatures w14:val="none"/>
        </w:rPr>
        <w:t>Entre las múltiples tácticas de negociación, existe una que busca asegurar que todas las partes se retiren de la mesa con aquello que consideran valioso. Este enfoque se vuelve eficaz cuando se comprende qué es valioso para las otras partes y cuál es el valor relativo que cada uno les asigna. En ocasiones, lo que es importante para otros no lo es para uno, por lo que resulta sencillo cederlo; y lo mismo puede ocurrir a la inversa. No se trata de quitarle algo a la otra parte, sino de procurar que todas se retiren sintiendo que obtuvieron aquello que consideraban valioso. Es un ejercicio complejo que requiere investigar los objetivos de quienes participan en la negociación. </w:t>
      </w:r>
    </w:p>
    <w:p w14:paraId="3FCEB439" w14:textId="77777777" w:rsidR="00665C05" w:rsidRPr="00665C05" w:rsidRDefault="00665C05" w:rsidP="00665C05">
      <w:pPr>
        <w:spacing w:after="100" w:afterAutospacing="1"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kern w:val="0"/>
          <w:sz w:val="24"/>
          <w:szCs w:val="24"/>
          <w:lang w:eastAsia="es-UY"/>
          <w14:ligatures w14:val="none"/>
        </w:rPr>
        <w:lastRenderedPageBreak/>
        <w:t>A modo de ejemplo, podemos mencionar el conflicto entre Estados Unidos y Groenlandia en torno al contrato de servicios de mantenimiento en la Base Espacial Pituffik: el denominado “Acuerdo entre el Gobierno de los Estados Unidos de América y el Gobierno del Reino de Dinamarca, en virtud del Tratado del Atlántico Norte, relativo a la defensa de Groenlandia”. La clase política groenlandesa siempre supo que la motivación principal del contrato de mantenimiento era la propia defensa de Estados Unidos, algo que no había sido reconocido oficialmente. Esto puede observarse en el debate de mayo de 2020 en el Parlamento de Groenlandia (Inatsisartut), en el contexto de la primera manifestación del presidente Donald Trump de comprar Groenlandia. </w:t>
      </w:r>
    </w:p>
    <w:p w14:paraId="77E4D5F5" w14:textId="77777777" w:rsidR="00665C05" w:rsidRPr="00665C05" w:rsidRDefault="00665C05" w:rsidP="00665C05">
      <w:pPr>
        <w:spacing w:after="100" w:afterAutospacing="1"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kern w:val="0"/>
          <w:sz w:val="24"/>
          <w:szCs w:val="24"/>
          <w:lang w:eastAsia="es-UY"/>
          <w14:ligatures w14:val="none"/>
        </w:rPr>
        <w:t>Desde 2013, existía un conflicto en torno al contrato de mantenimiento en Pituffik y, los miembros del Parlamento debatían los beneficios para Groenlandia y su población, que habían sido significativos hasta que el contrato fue adjudicado a una empresa estadounidense. El conflicto se solucionó en 2020 cuando  una declaración negociada señaló: “En vista del papel clave de Pituffik y de Groenlandia en la seguridad groenlandesa, estadounidense y transatlántica”. Esto resultaba valioso para Groenlandia, mientras que para Estados Unidos era importante que se reconociera que también contribuía a la seguridad de Groenlandia y de la OTAN. De este modo, quedó establecido en un documento oficial que Pituffik y Groenlandia desempeñan un papel clave en la seguridad de Estados Unidos.</w:t>
      </w:r>
    </w:p>
    <w:p w14:paraId="20F0FD62" w14:textId="77777777" w:rsidR="00665C05" w:rsidRPr="00665C05" w:rsidRDefault="00665C05" w:rsidP="00665C05">
      <w:pPr>
        <w:spacing w:after="0"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noProof/>
          <w:kern w:val="0"/>
          <w:sz w:val="24"/>
          <w:szCs w:val="24"/>
          <w:lang w:eastAsia="es-UY"/>
          <w14:ligatures w14:val="none"/>
        </w:rPr>
        <w:lastRenderedPageBreak/>
        <w:drawing>
          <wp:inline distT="0" distB="0" distL="0" distR="0" wp14:anchorId="59DF2CAD" wp14:editId="61C1BEF0">
            <wp:extent cx="9753600" cy="6216650"/>
            <wp:effectExtent l="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53600" cy="6216650"/>
                    </a:xfrm>
                    <a:prstGeom prst="rect">
                      <a:avLst/>
                    </a:prstGeom>
                    <a:noFill/>
                    <a:ln>
                      <a:noFill/>
                    </a:ln>
                  </pic:spPr>
                </pic:pic>
              </a:graphicData>
            </a:graphic>
          </wp:inline>
        </w:drawing>
      </w:r>
      <w:r w:rsidRPr="00665C05">
        <w:rPr>
          <w:rFonts w:ascii="Times New Roman" w:eastAsia="Times New Roman" w:hAnsi="Times New Roman" w:cs="Times New Roman"/>
          <w:i/>
          <w:iCs/>
          <w:kern w:val="0"/>
          <w:sz w:val="24"/>
          <w:szCs w:val="24"/>
          <w:lang w:eastAsia="es-UY"/>
          <w14:ligatures w14:val="none"/>
        </w:rPr>
        <w:t>La</w:t>
      </w:r>
      <w:r w:rsidRPr="00665C05">
        <w:rPr>
          <w:rFonts w:ascii="Times New Roman" w:eastAsia="Times New Roman" w:hAnsi="Times New Roman" w:cs="Times New Roman"/>
          <w:b/>
          <w:bCs/>
          <w:i/>
          <w:iCs/>
          <w:kern w:val="0"/>
          <w:sz w:val="24"/>
          <w:szCs w:val="24"/>
          <w:lang w:eastAsia="es-UY"/>
          <w14:ligatures w14:val="none"/>
        </w:rPr>
        <w:t> </w:t>
      </w:r>
      <w:r w:rsidRPr="00665C05">
        <w:rPr>
          <w:rFonts w:ascii="Times New Roman" w:eastAsia="Times New Roman" w:hAnsi="Times New Roman" w:cs="Times New Roman"/>
          <w:i/>
          <w:iCs/>
          <w:kern w:val="0"/>
          <w:sz w:val="24"/>
          <w:szCs w:val="24"/>
          <w:lang w:eastAsia="es-UY"/>
          <w14:ligatures w14:val="none"/>
        </w:rPr>
        <w:t>Base Espacial Pituffik anteriormente se llamaba Base Aérea Thule. </w:t>
      </w:r>
      <w:r w:rsidRPr="00665C05">
        <w:rPr>
          <w:rFonts w:ascii="Times New Roman" w:eastAsia="Times New Roman" w:hAnsi="Times New Roman" w:cs="Times New Roman"/>
          <w:b/>
          <w:bCs/>
          <w:i/>
          <w:iCs/>
          <w:kern w:val="0"/>
          <w:sz w:val="24"/>
          <w:szCs w:val="24"/>
          <w:lang w:eastAsia="es-UY"/>
          <w14:ligatures w14:val="none"/>
        </w:rPr>
        <w:t>Foto:</w:t>
      </w:r>
      <w:r w:rsidRPr="00665C05">
        <w:rPr>
          <w:rFonts w:ascii="Times New Roman" w:eastAsia="Times New Roman" w:hAnsi="Times New Roman" w:cs="Times New Roman"/>
          <w:i/>
          <w:iCs/>
          <w:kern w:val="0"/>
          <w:sz w:val="24"/>
          <w:szCs w:val="24"/>
          <w:lang w:eastAsia="es-UY"/>
          <w14:ligatures w14:val="none"/>
        </w:rPr>
        <w:t> </w:t>
      </w:r>
      <w:hyperlink r:id="rId6" w:tgtFrame="_blank" w:history="1">
        <w:r w:rsidRPr="00665C05">
          <w:rPr>
            <w:rFonts w:ascii="Times New Roman" w:eastAsia="Times New Roman" w:hAnsi="Times New Roman" w:cs="Times New Roman"/>
            <w:i/>
            <w:iCs/>
            <w:color w:val="2B7AAA"/>
            <w:kern w:val="0"/>
            <w:sz w:val="24"/>
            <w:szCs w:val="24"/>
            <w:lang w:eastAsia="es-UY"/>
            <w14:ligatures w14:val="none"/>
          </w:rPr>
          <w:t>Grid Arendal</w:t>
        </w:r>
      </w:hyperlink>
    </w:p>
    <w:p w14:paraId="5835694C" w14:textId="77777777" w:rsidR="00665C05" w:rsidRPr="00665C05" w:rsidRDefault="00665C05" w:rsidP="00665C05">
      <w:pPr>
        <w:spacing w:after="100" w:afterAutospacing="1" w:line="240" w:lineRule="auto"/>
        <w:outlineLvl w:val="2"/>
        <w:rPr>
          <w:rFonts w:ascii="Arial" w:eastAsia="Times New Roman" w:hAnsi="Arial" w:cs="Arial"/>
          <w:b/>
          <w:bCs/>
          <w:color w:val="003250"/>
          <w:kern w:val="0"/>
          <w:sz w:val="27"/>
          <w:szCs w:val="27"/>
          <w:lang w:eastAsia="es-UY"/>
          <w14:ligatures w14:val="none"/>
        </w:rPr>
      </w:pPr>
      <w:r w:rsidRPr="00665C05">
        <w:rPr>
          <w:rFonts w:ascii="Arial" w:eastAsia="Times New Roman" w:hAnsi="Arial" w:cs="Arial"/>
          <w:b/>
          <w:bCs/>
          <w:color w:val="003250"/>
          <w:kern w:val="0"/>
          <w:sz w:val="27"/>
          <w:szCs w:val="27"/>
          <w:lang w:eastAsia="es-UY"/>
          <w14:ligatures w14:val="none"/>
        </w:rPr>
        <w:t>Un lugar en la mesa</w:t>
      </w:r>
    </w:p>
    <w:p w14:paraId="14157A81" w14:textId="77777777" w:rsidR="00665C05" w:rsidRPr="00665C05" w:rsidRDefault="00665C05" w:rsidP="00665C05">
      <w:pPr>
        <w:spacing w:after="100" w:afterAutospacing="1"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kern w:val="0"/>
          <w:sz w:val="24"/>
          <w:szCs w:val="24"/>
          <w:lang w:eastAsia="es-UY"/>
          <w14:ligatures w14:val="none"/>
        </w:rPr>
        <w:t>Esta negociación no habría sido posible si el Gobierno de Groenlandia no hubiera tenido un lugar en la mesa. Desde la década de 1970, Groenlandia ha trabajado de manera sostenida para participar en las decisiones relativas a la presencia militar de Estados Unidos en su territorio, logrando gradualmente un mayor acceso. Este proceso culminó en 2013, cuando Groenlandia tuvo la capacidad de suspender la cooperación oficial con el Gobierno de Estados Unidos como respuesta a la adjudicación del contrato del mantenimiento en Pituffik a una empresa estadounidense. Se trata de un ejemplo claro de lo que significa tener verdaderamente un lugar en la mesa. </w:t>
      </w:r>
    </w:p>
    <w:p w14:paraId="17095DF0" w14:textId="77777777" w:rsidR="00665C05" w:rsidRPr="00665C05" w:rsidRDefault="00665C05" w:rsidP="00665C05">
      <w:pPr>
        <w:spacing w:after="100" w:afterAutospacing="1"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kern w:val="0"/>
          <w:sz w:val="24"/>
          <w:szCs w:val="24"/>
          <w:lang w:eastAsia="es-UY"/>
          <w14:ligatures w14:val="none"/>
        </w:rPr>
        <w:t xml:space="preserve">Con el creciente interés de Estados Unidos en Groenlandia desde 2019 (evidenciado, entre otros factores, por el estilo de Trump), el Gobierno groenlandés ha consolidado </w:t>
      </w:r>
      <w:r w:rsidRPr="00665C05">
        <w:rPr>
          <w:rFonts w:ascii="Times New Roman" w:eastAsia="Times New Roman" w:hAnsi="Times New Roman" w:cs="Times New Roman"/>
          <w:kern w:val="0"/>
          <w:sz w:val="24"/>
          <w:szCs w:val="24"/>
          <w:lang w:eastAsia="es-UY"/>
          <w14:ligatures w14:val="none"/>
        </w:rPr>
        <w:lastRenderedPageBreak/>
        <w:t>ese lugar, y Dinamarca ya no puede tomar decisiones sobre su posición y su estatus sin consultarla. Sin embargo, de modo opuesto, para los Pueblos Indígenas y las poblaciones colonizadas, el desafío adicional ha sido precisamente la ausencia de ese lugar en la mesa. Groenlandia hoy ocupa una silla, aunque quizá con la salvedad de que debe compartirla con Dinamarca. </w:t>
      </w:r>
    </w:p>
    <w:p w14:paraId="5D658711" w14:textId="77777777" w:rsidR="00665C05" w:rsidRPr="00665C05" w:rsidRDefault="00665C05" w:rsidP="00665C05">
      <w:pPr>
        <w:spacing w:after="100" w:afterAutospacing="1"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kern w:val="0"/>
          <w:sz w:val="24"/>
          <w:szCs w:val="24"/>
          <w:lang w:eastAsia="es-UY"/>
          <w14:ligatures w14:val="none"/>
        </w:rPr>
        <w:t>Si bien los Estados suelen hablar de colaboración con los Pueblos Indígenas y gobiernos subestatales porque es lo correcto, con frecuencia equiparan la colaboración con escuchar, consultar o solicitar aportes una vez que las decisiones ya han sido tomadas. En ocasiones, las decisiones estatales se imponen de arriba hacia abajo, vulnerando los derechos de los Pueblos Indígenas, aun cuando podrían contar con su acuerdo si existiera una comprensión común del conflicto. Un principio clave en la cooperación entre Estados y Pueblos Indígenas es el consentimiento libre, previo e informado. Sin embargo, este principio se vuelve inviable cuando la información clasificada no llega a los Pueblos Indígenas.</w:t>
      </w:r>
    </w:p>
    <w:p w14:paraId="1AFB90F0" w14:textId="77777777" w:rsidR="00665C05" w:rsidRPr="00665C05" w:rsidRDefault="00665C05" w:rsidP="00665C05">
      <w:pPr>
        <w:spacing w:after="0"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noProof/>
          <w:kern w:val="0"/>
          <w:sz w:val="24"/>
          <w:szCs w:val="24"/>
          <w:lang w:eastAsia="es-UY"/>
          <w14:ligatures w14:val="none"/>
        </w:rPr>
        <w:lastRenderedPageBreak/>
        <w:drawing>
          <wp:inline distT="0" distB="0" distL="0" distR="0" wp14:anchorId="60C6F213" wp14:editId="4B41AA87">
            <wp:extent cx="9753600" cy="7315200"/>
            <wp:effectExtent l="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sidRPr="00665C05">
        <w:rPr>
          <w:rFonts w:ascii="Times New Roman" w:eastAsia="Times New Roman" w:hAnsi="Times New Roman" w:cs="Times New Roman"/>
          <w:i/>
          <w:iCs/>
          <w:kern w:val="0"/>
          <w:sz w:val="24"/>
          <w:szCs w:val="24"/>
          <w:lang w:eastAsia="es-UY"/>
          <w14:ligatures w14:val="none"/>
        </w:rPr>
        <w:t>Los Pueblos Indígenas no tienen un lugar en la mesa de las discusiones geoestratégicas. </w:t>
      </w:r>
      <w:r w:rsidRPr="00665C05">
        <w:rPr>
          <w:rFonts w:ascii="Times New Roman" w:eastAsia="Times New Roman" w:hAnsi="Times New Roman" w:cs="Times New Roman"/>
          <w:b/>
          <w:bCs/>
          <w:i/>
          <w:iCs/>
          <w:kern w:val="0"/>
          <w:sz w:val="24"/>
          <w:szCs w:val="24"/>
          <w:lang w:eastAsia="es-UY"/>
          <w14:ligatures w14:val="none"/>
        </w:rPr>
        <w:t>Foto.</w:t>
      </w:r>
      <w:r w:rsidRPr="00665C05">
        <w:rPr>
          <w:rFonts w:ascii="Times New Roman" w:eastAsia="Times New Roman" w:hAnsi="Times New Roman" w:cs="Times New Roman"/>
          <w:i/>
          <w:iCs/>
          <w:kern w:val="0"/>
          <w:sz w:val="24"/>
          <w:szCs w:val="24"/>
          <w:lang w:eastAsia="es-UY"/>
          <w14:ligatures w14:val="none"/>
        </w:rPr>
        <w:t> </w:t>
      </w:r>
      <w:hyperlink r:id="rId8" w:tgtFrame="_blank" w:history="1">
        <w:r w:rsidRPr="00665C05">
          <w:rPr>
            <w:rFonts w:ascii="Times New Roman" w:eastAsia="Times New Roman" w:hAnsi="Times New Roman" w:cs="Times New Roman"/>
            <w:i/>
            <w:iCs/>
            <w:color w:val="2B7AAA"/>
            <w:kern w:val="0"/>
            <w:sz w:val="24"/>
            <w:szCs w:val="24"/>
            <w:lang w:eastAsia="es-UY"/>
            <w14:ligatures w14:val="none"/>
          </w:rPr>
          <w:t>Alejandro Parellada / IWGIA</w:t>
        </w:r>
      </w:hyperlink>
    </w:p>
    <w:p w14:paraId="3FF40108" w14:textId="77777777" w:rsidR="00665C05" w:rsidRPr="00665C05" w:rsidRDefault="00665C05" w:rsidP="00665C05">
      <w:pPr>
        <w:spacing w:after="100" w:afterAutospacing="1" w:line="240" w:lineRule="auto"/>
        <w:outlineLvl w:val="2"/>
        <w:rPr>
          <w:rFonts w:ascii="Arial" w:eastAsia="Times New Roman" w:hAnsi="Arial" w:cs="Arial"/>
          <w:b/>
          <w:bCs/>
          <w:color w:val="003250"/>
          <w:kern w:val="0"/>
          <w:sz w:val="27"/>
          <w:szCs w:val="27"/>
          <w:lang w:eastAsia="es-UY"/>
          <w14:ligatures w14:val="none"/>
        </w:rPr>
      </w:pPr>
      <w:r w:rsidRPr="00665C05">
        <w:rPr>
          <w:rFonts w:ascii="Arial" w:eastAsia="Times New Roman" w:hAnsi="Arial" w:cs="Arial"/>
          <w:b/>
          <w:bCs/>
          <w:color w:val="003250"/>
          <w:kern w:val="0"/>
          <w:sz w:val="27"/>
          <w:szCs w:val="27"/>
          <w:lang w:eastAsia="es-UY"/>
          <w14:ligatures w14:val="none"/>
        </w:rPr>
        <w:t>Colaboración y cooperación</w:t>
      </w:r>
    </w:p>
    <w:p w14:paraId="0ED87271" w14:textId="77777777" w:rsidR="00665C05" w:rsidRPr="00665C05" w:rsidRDefault="00665C05" w:rsidP="00665C05">
      <w:pPr>
        <w:spacing w:after="100" w:afterAutospacing="1"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kern w:val="0"/>
          <w:sz w:val="24"/>
          <w:szCs w:val="24"/>
          <w:lang w:eastAsia="es-UY"/>
          <w14:ligatures w14:val="none"/>
        </w:rPr>
        <w:t xml:space="preserve">La colaboración implica que todas las partes trabajan hacia un mismo objetivo. Sin embargo, los Estados y los Pueblos Indígenas no siempre persiguen los mismos fines y, con frecuencia, se encuentran en situaciones de conflicto. Por ello, no resulta honesto </w:t>
      </w:r>
      <w:r w:rsidRPr="00665C05">
        <w:rPr>
          <w:rFonts w:ascii="Times New Roman" w:eastAsia="Times New Roman" w:hAnsi="Times New Roman" w:cs="Times New Roman"/>
          <w:kern w:val="0"/>
          <w:sz w:val="24"/>
          <w:szCs w:val="24"/>
          <w:lang w:eastAsia="es-UY"/>
          <w14:ligatures w14:val="none"/>
        </w:rPr>
        <w:lastRenderedPageBreak/>
        <w:t>hablar de colaboración o consulta al intentar vincularse con Pueblos Indígenas y con las organizaciones que los representan.</w:t>
      </w:r>
    </w:p>
    <w:p w14:paraId="20AB070F" w14:textId="77777777" w:rsidR="00665C05" w:rsidRPr="00665C05" w:rsidRDefault="00665C05" w:rsidP="00665C05">
      <w:pPr>
        <w:spacing w:after="100" w:afterAutospacing="1"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kern w:val="0"/>
          <w:sz w:val="24"/>
          <w:szCs w:val="24"/>
          <w:lang w:eastAsia="es-UY"/>
          <w14:ligatures w14:val="none"/>
        </w:rPr>
        <w:t>En cambio, si los Estados ponen el foco en la cooperación para garantizar los derechos de los Pueblos Indígenas, el enfoque será más transparente. Reconocer la existencia de intereses y aspiraciones diferentes es el primer paso en cualquier negociación. La cooperación supone que las partes no necesariamente buscan lo mismo, pero pueden trabajar conjuntamente para que cada una alcance sus propios objetivos. Esto aplica tanto en contextos de conflicto y posconflicto como en el ámbito de la política de defensa y seguridad.</w:t>
      </w:r>
    </w:p>
    <w:p w14:paraId="5C3A9227" w14:textId="77777777" w:rsidR="00665C05" w:rsidRPr="00665C05" w:rsidRDefault="00665C05" w:rsidP="00665C05">
      <w:pPr>
        <w:spacing w:before="100" w:beforeAutospacing="1" w:after="100" w:afterAutospacing="1" w:line="240" w:lineRule="auto"/>
        <w:rPr>
          <w:rFonts w:ascii="Times New Roman" w:eastAsia="Times New Roman" w:hAnsi="Times New Roman" w:cs="Times New Roman"/>
          <w:i/>
          <w:iCs/>
          <w:color w:val="2B7AAA"/>
          <w:kern w:val="0"/>
          <w:sz w:val="24"/>
          <w:szCs w:val="24"/>
          <w:lang w:eastAsia="es-UY"/>
          <w14:ligatures w14:val="none"/>
        </w:rPr>
      </w:pPr>
      <w:r w:rsidRPr="00665C05">
        <w:rPr>
          <w:rFonts w:ascii="Times New Roman" w:eastAsia="Times New Roman" w:hAnsi="Times New Roman" w:cs="Times New Roman"/>
          <w:i/>
          <w:iCs/>
          <w:color w:val="2B7AAA"/>
          <w:kern w:val="0"/>
          <w:sz w:val="24"/>
          <w:szCs w:val="24"/>
          <w:lang w:eastAsia="es-UY"/>
          <w14:ligatures w14:val="none"/>
        </w:rPr>
        <w:t>Contar con un lugar en la mesa requiere una negociación continua entre los gobiernos subestatales y los Estados, incluidas las organizaciones indígenas. Por eso, los Estados deben ceder parte de los privilegios asociados a su autoridad y monopolio.</w:t>
      </w:r>
    </w:p>
    <w:p w14:paraId="4E05DBDA" w14:textId="77777777" w:rsidR="00665C05" w:rsidRPr="00665C05" w:rsidRDefault="00665C05" w:rsidP="00665C05">
      <w:pPr>
        <w:spacing w:after="100" w:afterAutospacing="1"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kern w:val="0"/>
          <w:sz w:val="24"/>
          <w:szCs w:val="24"/>
          <w:lang w:eastAsia="es-UY"/>
          <w14:ligatures w14:val="none"/>
        </w:rPr>
        <w:t>Lamentablemente, dado que los grupos históricamente marginados deben luchar constantemente por espacios de poder, se generan exigencias adicionales para que las comunidades indígenas de Groenlandia se formen en la terminología de seguridad y defensa. Cuando los conocimientos, prioridades y experiencias indígenas pueden traducirse a un lenguaje que un general de cuatro estrellas comprenda, es más probable que sean escuchados. Por ejemplo, el jefe del Comando Ártico Conjunto en Groenlandia entiende que la cooperación con cazadores y pescadores es una necesidad operativa, y la expresa en términos propios del vocabulario militar. </w:t>
      </w:r>
    </w:p>
    <w:p w14:paraId="51D0136F" w14:textId="77777777" w:rsidR="00665C05" w:rsidRPr="00665C05" w:rsidRDefault="00665C05" w:rsidP="00665C05">
      <w:pPr>
        <w:spacing w:after="100" w:afterAutospacing="1"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kern w:val="0"/>
          <w:sz w:val="24"/>
          <w:szCs w:val="24"/>
          <w:lang w:eastAsia="es-UY"/>
          <w14:ligatures w14:val="none"/>
        </w:rPr>
        <w:t>En este sentido, contar con un lugar en la mesa requiere una negociación continua entre los gobiernos subestatales y los Estados, incluidas las organizaciones indígenas. Por eso, los Estados deben ceder parte de los privilegios asociados a su autoridad y monopolio. Del mismo modo, en materia de seguridad nacional, la seguridad indígena debe ser reconocida como igual de importante que la seguridad del Estado.</w:t>
      </w:r>
    </w:p>
    <w:p w14:paraId="36866FFA" w14:textId="77777777" w:rsidR="00665C05" w:rsidRPr="00665C05" w:rsidRDefault="00665C05" w:rsidP="00665C05">
      <w:pPr>
        <w:spacing w:after="0"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noProof/>
          <w:kern w:val="0"/>
          <w:sz w:val="24"/>
          <w:szCs w:val="24"/>
          <w:lang w:eastAsia="es-UY"/>
          <w14:ligatures w14:val="none"/>
        </w:rPr>
        <w:lastRenderedPageBreak/>
        <w:drawing>
          <wp:inline distT="0" distB="0" distL="0" distR="0" wp14:anchorId="3137DEE7" wp14:editId="476EFFEF">
            <wp:extent cx="9753600" cy="731520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sidRPr="00665C05">
        <w:rPr>
          <w:rFonts w:ascii="Times New Roman" w:eastAsia="Times New Roman" w:hAnsi="Times New Roman" w:cs="Times New Roman"/>
          <w:i/>
          <w:iCs/>
          <w:kern w:val="0"/>
          <w:sz w:val="24"/>
          <w:szCs w:val="24"/>
          <w:lang w:eastAsia="es-UY"/>
          <w14:ligatures w14:val="none"/>
        </w:rPr>
        <w:t>Las comunidades indígenas de Groenlandia se ven obligadas a formarse en la terminología de seguridad y defensa para ser tenidas en cuenta en las discusiones. </w:t>
      </w:r>
      <w:r w:rsidRPr="00665C05">
        <w:rPr>
          <w:rFonts w:ascii="Times New Roman" w:eastAsia="Times New Roman" w:hAnsi="Times New Roman" w:cs="Times New Roman"/>
          <w:b/>
          <w:bCs/>
          <w:i/>
          <w:iCs/>
          <w:kern w:val="0"/>
          <w:sz w:val="24"/>
          <w:szCs w:val="24"/>
          <w:lang w:eastAsia="es-UY"/>
          <w14:ligatures w14:val="none"/>
        </w:rPr>
        <w:t>Foto: </w:t>
      </w:r>
      <w:hyperlink r:id="rId10" w:tgtFrame="_blank" w:history="1">
        <w:r w:rsidRPr="00665C05">
          <w:rPr>
            <w:rFonts w:ascii="Times New Roman" w:eastAsia="Times New Roman" w:hAnsi="Times New Roman" w:cs="Times New Roman"/>
            <w:i/>
            <w:iCs/>
            <w:color w:val="2B7AAA"/>
            <w:kern w:val="0"/>
            <w:sz w:val="24"/>
            <w:szCs w:val="24"/>
            <w:lang w:eastAsia="es-UY"/>
            <w14:ligatures w14:val="none"/>
          </w:rPr>
          <w:t>Alejandro Parellada / IWGIA</w:t>
        </w:r>
      </w:hyperlink>
    </w:p>
    <w:p w14:paraId="5E829DD0" w14:textId="77777777" w:rsidR="00665C05" w:rsidRPr="00665C05" w:rsidRDefault="00665C05" w:rsidP="00665C05">
      <w:pPr>
        <w:spacing w:after="100" w:afterAutospacing="1" w:line="240" w:lineRule="auto"/>
        <w:outlineLvl w:val="2"/>
        <w:rPr>
          <w:rFonts w:ascii="Arial" w:eastAsia="Times New Roman" w:hAnsi="Arial" w:cs="Arial"/>
          <w:b/>
          <w:bCs/>
          <w:color w:val="003250"/>
          <w:kern w:val="0"/>
          <w:sz w:val="27"/>
          <w:szCs w:val="27"/>
          <w:lang w:eastAsia="es-UY"/>
          <w14:ligatures w14:val="none"/>
        </w:rPr>
      </w:pPr>
      <w:r w:rsidRPr="00665C05">
        <w:rPr>
          <w:rFonts w:ascii="Arial" w:eastAsia="Times New Roman" w:hAnsi="Arial" w:cs="Arial"/>
          <w:b/>
          <w:bCs/>
          <w:color w:val="003250"/>
          <w:kern w:val="0"/>
          <w:sz w:val="27"/>
          <w:szCs w:val="27"/>
          <w:lang w:eastAsia="es-UY"/>
          <w14:ligatures w14:val="none"/>
        </w:rPr>
        <w:t>El consentimiento libre, previo e informado, y la disputa de narrativas</w:t>
      </w:r>
    </w:p>
    <w:p w14:paraId="53ED2627" w14:textId="77777777" w:rsidR="00665C05" w:rsidRPr="00665C05" w:rsidRDefault="00665C05" w:rsidP="00665C05">
      <w:pPr>
        <w:spacing w:after="100" w:afterAutospacing="1"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kern w:val="0"/>
          <w:sz w:val="24"/>
          <w:szCs w:val="24"/>
          <w:lang w:eastAsia="es-UY"/>
          <w14:ligatures w14:val="none"/>
        </w:rPr>
        <w:t xml:space="preserve">Es fundamental que el intercambio de información garantice que las organizaciones indígenas y los gobiernos subestatales comprendan las decisiones del Estado y puedan </w:t>
      </w:r>
      <w:r w:rsidRPr="00665C05">
        <w:rPr>
          <w:rFonts w:ascii="Times New Roman" w:eastAsia="Times New Roman" w:hAnsi="Times New Roman" w:cs="Times New Roman"/>
          <w:kern w:val="0"/>
          <w:sz w:val="24"/>
          <w:szCs w:val="24"/>
          <w:lang w:eastAsia="es-UY"/>
          <w14:ligatures w14:val="none"/>
        </w:rPr>
        <w:lastRenderedPageBreak/>
        <w:t>aportar soluciones más adecuadas basadas en sus conocimientos desde el territorio. Sobre todo, esto exige una cooperación real y no instancias de participación posteriores a la toma de decisiones (algo que, lamentablemente, se ha vuelto muy frecuente en los últimos años). En algunos contextos, será necesario introducir reformas legislativas en las normas que regulan quiénes pueden acceder a información clasificada y quiénes pueden compartirla. Asimismo, las organizaciones y gobiernos indígenas deben analizar en profundidad los sistemas de defensa y seguridad de sus Estados, con el objetivo de comprender el lenguaje y los criterios con los que se establecen prioridades.</w:t>
      </w:r>
    </w:p>
    <w:p w14:paraId="4BDD8E18" w14:textId="77777777" w:rsidR="00665C05" w:rsidRPr="00665C05" w:rsidRDefault="00665C05" w:rsidP="00665C05">
      <w:pPr>
        <w:spacing w:after="100" w:afterAutospacing="1"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kern w:val="0"/>
          <w:sz w:val="24"/>
          <w:szCs w:val="24"/>
          <w:lang w:eastAsia="es-UY"/>
          <w14:ligatures w14:val="none"/>
        </w:rPr>
        <w:t>Por otro lado, existe un número creciente y cada vez más diverso de actores que participan en asuntos de seguridad nacional en el Ártico (incluidas organizaciones indígenas y gobiernos subestatales), muchas veces con escasa o nula experiencia en el manejo de la información clasificada. En este contexto, cabe preguntarse por qué el intercambio de información resulta tan relevante, en particular, en relación con los derechos indígenas.</w:t>
      </w:r>
    </w:p>
    <w:p w14:paraId="0DA10617" w14:textId="77777777" w:rsidR="00665C05" w:rsidRPr="00665C05" w:rsidRDefault="00665C05" w:rsidP="00665C05">
      <w:pPr>
        <w:spacing w:before="100" w:beforeAutospacing="1" w:after="100" w:afterAutospacing="1" w:line="240" w:lineRule="auto"/>
        <w:rPr>
          <w:rFonts w:ascii="Times New Roman" w:eastAsia="Times New Roman" w:hAnsi="Times New Roman" w:cs="Times New Roman"/>
          <w:i/>
          <w:iCs/>
          <w:color w:val="2B7AAA"/>
          <w:kern w:val="0"/>
          <w:sz w:val="24"/>
          <w:szCs w:val="24"/>
          <w:lang w:eastAsia="es-UY"/>
          <w14:ligatures w14:val="none"/>
        </w:rPr>
      </w:pPr>
      <w:r w:rsidRPr="00665C05">
        <w:rPr>
          <w:rFonts w:ascii="Times New Roman" w:eastAsia="Times New Roman" w:hAnsi="Times New Roman" w:cs="Times New Roman"/>
          <w:i/>
          <w:iCs/>
          <w:color w:val="2B7AAA"/>
          <w:kern w:val="0"/>
          <w:sz w:val="24"/>
          <w:szCs w:val="24"/>
          <w:lang w:eastAsia="es-UY"/>
          <w14:ligatures w14:val="none"/>
        </w:rPr>
        <w:t>En las “guerras híbridas”, además de la competencia geoestratégica, se disputa la influencia en el ámbito internacional. En este tipo de dinámicas, los Pueblos Indígenas pueden convertirse en piezas relevantes de disputas de narrativas.</w:t>
      </w:r>
    </w:p>
    <w:p w14:paraId="75734BE3" w14:textId="77777777" w:rsidR="00665C05" w:rsidRPr="00665C05" w:rsidRDefault="00665C05" w:rsidP="00665C05">
      <w:pPr>
        <w:spacing w:after="100" w:afterAutospacing="1"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kern w:val="0"/>
          <w:sz w:val="24"/>
          <w:szCs w:val="24"/>
          <w:lang w:eastAsia="es-UY"/>
          <w14:ligatures w14:val="none"/>
        </w:rPr>
        <w:t>Una de las razones es el aumento de lo que se denomina “guerra por debajo del umbral”: formas de agresión entre Estados que no alcanzan el nivel de conflicto armado abierto. Esto también se conoce como “guerra híbrida”, en donde, además de la competencia geoestratégica, se disputan el posicionamiento y la influencia en el ámbito internacional. En este tipo de dinámicas, los Pueblos Indígenas pueden convertirse en piezas relevantes dentro de disputas de narrativas. Por ejemplo, Finlandia, en su política de desarrollo y exterior, afirma promover y defender los derechos de los Pueblos Indígenas. Sin embargo, el Comité de los Derechos del Niño le recordó recientemente la obligación de respetar los derechos del pueblo Sámi. </w:t>
      </w:r>
    </w:p>
    <w:p w14:paraId="633331C2" w14:textId="77777777" w:rsidR="00665C05" w:rsidRPr="00665C05" w:rsidRDefault="00665C05" w:rsidP="00665C05">
      <w:pPr>
        <w:spacing w:after="100" w:afterAutospacing="1"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kern w:val="0"/>
          <w:sz w:val="24"/>
          <w:szCs w:val="24"/>
          <w:lang w:eastAsia="es-UY"/>
          <w14:ligatures w14:val="none"/>
        </w:rPr>
        <w:t>Este tipo de contradicciones puede transformarse en herramientas narrativas utilizadas contra los países occidentales, especialmente cuando estos critican a otros Estados, como China, por situaciones como la de los uigures.  Estados Unidos también ha recurrido a este tipo de argumentos en Groenlandia para justificar su interés en apoyar la independencia frente al pasado colonial danés. Asimismo, Canadá y los países nórdicos han impulsado procesos de verdad y reconciliación, en los que la seguridad nacional y la cohesión estatal constituyen factores relevantes.</w:t>
      </w:r>
    </w:p>
    <w:p w14:paraId="3E08C7B4" w14:textId="77777777" w:rsidR="00665C05" w:rsidRPr="00665C05" w:rsidRDefault="00665C05" w:rsidP="00665C05">
      <w:pPr>
        <w:spacing w:after="0"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noProof/>
          <w:kern w:val="0"/>
          <w:sz w:val="24"/>
          <w:szCs w:val="24"/>
          <w:lang w:eastAsia="es-UY"/>
          <w14:ligatures w14:val="none"/>
        </w:rPr>
        <w:lastRenderedPageBreak/>
        <w:drawing>
          <wp:inline distT="0" distB="0" distL="0" distR="0" wp14:anchorId="085D60A0" wp14:editId="015083B7">
            <wp:extent cx="9753600" cy="7099300"/>
            <wp:effectExtent l="0" t="0" r="0" b="635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7099300"/>
                    </a:xfrm>
                    <a:prstGeom prst="rect">
                      <a:avLst/>
                    </a:prstGeom>
                    <a:noFill/>
                    <a:ln>
                      <a:noFill/>
                    </a:ln>
                  </pic:spPr>
                </pic:pic>
              </a:graphicData>
            </a:graphic>
          </wp:inline>
        </w:drawing>
      </w:r>
      <w:r w:rsidRPr="00665C05">
        <w:rPr>
          <w:rFonts w:ascii="Times New Roman" w:eastAsia="Times New Roman" w:hAnsi="Times New Roman" w:cs="Times New Roman"/>
          <w:i/>
          <w:iCs/>
          <w:kern w:val="0"/>
          <w:sz w:val="24"/>
          <w:szCs w:val="24"/>
          <w:lang w:eastAsia="es-UY"/>
          <w14:ligatures w14:val="none"/>
        </w:rPr>
        <w:t>Los Pueblos Indígenas muchas veces se convierten en piezas relevantes dentro de disputas de narrativas.</w:t>
      </w:r>
      <w:r w:rsidRPr="00665C05">
        <w:rPr>
          <w:rFonts w:ascii="Times New Roman" w:eastAsia="Times New Roman" w:hAnsi="Times New Roman" w:cs="Times New Roman"/>
          <w:b/>
          <w:bCs/>
          <w:i/>
          <w:iCs/>
          <w:kern w:val="0"/>
          <w:sz w:val="24"/>
          <w:szCs w:val="24"/>
          <w:lang w:eastAsia="es-UY"/>
          <w14:ligatures w14:val="none"/>
        </w:rPr>
        <w:t> Foto:</w:t>
      </w:r>
      <w:hyperlink r:id="rId12" w:tgtFrame="_blank" w:history="1">
        <w:r w:rsidRPr="00665C05">
          <w:rPr>
            <w:rFonts w:ascii="Times New Roman" w:eastAsia="Times New Roman" w:hAnsi="Times New Roman" w:cs="Times New Roman"/>
            <w:b/>
            <w:bCs/>
            <w:i/>
            <w:iCs/>
            <w:color w:val="2B7AAA"/>
            <w:kern w:val="0"/>
            <w:sz w:val="24"/>
            <w:szCs w:val="24"/>
            <w:lang w:eastAsia="es-UY"/>
            <w14:ligatures w14:val="none"/>
          </w:rPr>
          <w:t> </w:t>
        </w:r>
        <w:r w:rsidRPr="00665C05">
          <w:rPr>
            <w:rFonts w:ascii="Times New Roman" w:eastAsia="Times New Roman" w:hAnsi="Times New Roman" w:cs="Times New Roman"/>
            <w:i/>
            <w:iCs/>
            <w:color w:val="2B7AAA"/>
            <w:kern w:val="0"/>
            <w:sz w:val="24"/>
            <w:szCs w:val="24"/>
            <w:lang w:eastAsia="es-UY"/>
            <w14:ligatures w14:val="none"/>
          </w:rPr>
          <w:t>Alejandro Parellada / IWGIA</w:t>
        </w:r>
      </w:hyperlink>
    </w:p>
    <w:p w14:paraId="71E21144" w14:textId="77777777" w:rsidR="00665C05" w:rsidRPr="00665C05" w:rsidRDefault="00665C05" w:rsidP="00665C05">
      <w:pPr>
        <w:spacing w:after="100" w:afterAutospacing="1" w:line="240" w:lineRule="auto"/>
        <w:outlineLvl w:val="2"/>
        <w:rPr>
          <w:rFonts w:ascii="Arial" w:eastAsia="Times New Roman" w:hAnsi="Arial" w:cs="Arial"/>
          <w:b/>
          <w:bCs/>
          <w:color w:val="003250"/>
          <w:kern w:val="0"/>
          <w:sz w:val="27"/>
          <w:szCs w:val="27"/>
          <w:lang w:eastAsia="es-UY"/>
          <w14:ligatures w14:val="none"/>
        </w:rPr>
      </w:pPr>
      <w:r w:rsidRPr="00665C05">
        <w:rPr>
          <w:rFonts w:ascii="Arial" w:eastAsia="Times New Roman" w:hAnsi="Arial" w:cs="Arial"/>
          <w:b/>
          <w:bCs/>
          <w:color w:val="003250"/>
          <w:kern w:val="0"/>
          <w:sz w:val="27"/>
          <w:szCs w:val="27"/>
          <w:lang w:eastAsia="es-UY"/>
          <w14:ligatures w14:val="none"/>
        </w:rPr>
        <w:t>El riesgo de la guerra híbrida en la transición verde </w:t>
      </w:r>
    </w:p>
    <w:p w14:paraId="08BD457C" w14:textId="77777777" w:rsidR="00665C05" w:rsidRPr="00665C05" w:rsidRDefault="00665C05" w:rsidP="00665C05">
      <w:pPr>
        <w:spacing w:after="100" w:afterAutospacing="1"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kern w:val="0"/>
          <w:sz w:val="24"/>
          <w:szCs w:val="24"/>
          <w:lang w:eastAsia="es-UY"/>
          <w14:ligatures w14:val="none"/>
        </w:rPr>
        <w:t xml:space="preserve">Por último, es importante señalar que estos riesgos no son exclusivos del Ártico. Existe un creciente peligro de campañas de influencia destinadas a debilitar la relación entre organizaciones indígenas y gobiernos. En América Central y América del Sur, la acción de los Estados nación ha estado motivada con frecuencia por el interés en explotar los recursos naturales ubicados en los territorios indígenas. Cuando los Estados ponderan </w:t>
      </w:r>
      <w:r w:rsidRPr="00665C05">
        <w:rPr>
          <w:rFonts w:ascii="Times New Roman" w:eastAsia="Times New Roman" w:hAnsi="Times New Roman" w:cs="Times New Roman"/>
          <w:kern w:val="0"/>
          <w:sz w:val="24"/>
          <w:szCs w:val="24"/>
          <w:lang w:eastAsia="es-UY"/>
          <w14:ligatures w14:val="none"/>
        </w:rPr>
        <w:lastRenderedPageBreak/>
        <w:t>sus intereses frente a los derechos de los Pueblos Indígenas, la balanza suele inclinarse a favor de aquéllos. </w:t>
      </w:r>
    </w:p>
    <w:p w14:paraId="601F4930" w14:textId="77777777" w:rsidR="00665C05" w:rsidRPr="00665C05" w:rsidRDefault="00665C05" w:rsidP="00665C05">
      <w:pPr>
        <w:spacing w:after="100" w:afterAutospacing="1"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kern w:val="0"/>
          <w:sz w:val="24"/>
          <w:szCs w:val="24"/>
          <w:lang w:eastAsia="es-UY"/>
          <w14:ligatures w14:val="none"/>
        </w:rPr>
        <w:t>La transición hacia energías limpias y renovables ha incrementado la demanda de minerales críticos, y en este escenario no sólo intervienen los Estados. Por ejemplo, la Unión Europea y la Organización del Tratado del Atlántico Norte (OTAN) consideran estratégicos determinados minerales y cadenas de suministro. Esto ha llevado a algunos gobiernos a acelerar procesos de aprobación que originalmente estaban diseñados para proteger el ambiente y los derechos indígenas. En ocasiones, los Estados justifican las vulneraciones de estos derechos en nombre de la seguridad nacional y de prioridades estratégicas. A su vez, estas situaciones pueden ser utilizadas como herramientas en campañas de influencia.</w:t>
      </w:r>
    </w:p>
    <w:p w14:paraId="2B47978C" w14:textId="77777777" w:rsidR="00665C05" w:rsidRPr="00665C05" w:rsidRDefault="00665C05" w:rsidP="00665C05">
      <w:pPr>
        <w:spacing w:before="100" w:beforeAutospacing="1" w:after="100" w:afterAutospacing="1" w:line="240" w:lineRule="auto"/>
        <w:rPr>
          <w:rFonts w:ascii="Times New Roman" w:eastAsia="Times New Roman" w:hAnsi="Times New Roman" w:cs="Times New Roman"/>
          <w:i/>
          <w:iCs/>
          <w:color w:val="2B7AAA"/>
          <w:kern w:val="0"/>
          <w:sz w:val="24"/>
          <w:szCs w:val="24"/>
          <w:lang w:eastAsia="es-UY"/>
          <w14:ligatures w14:val="none"/>
        </w:rPr>
      </w:pPr>
      <w:r w:rsidRPr="00665C05">
        <w:rPr>
          <w:rFonts w:ascii="Times New Roman" w:eastAsia="Times New Roman" w:hAnsi="Times New Roman" w:cs="Times New Roman"/>
          <w:i/>
          <w:iCs/>
          <w:color w:val="2B7AAA"/>
          <w:kern w:val="0"/>
          <w:sz w:val="24"/>
          <w:szCs w:val="24"/>
          <w:lang w:eastAsia="es-UY"/>
          <w14:ligatures w14:val="none"/>
        </w:rPr>
        <w:t>Groenlandia, por ejemplo, estaba en cierta medida protegida debido a la dificultad de traducir automáticamente el groenlandés, pero los modelos de traducción de lenguaje en gran escala están cambiando esta realidad.</w:t>
      </w:r>
    </w:p>
    <w:p w14:paraId="748D98EB" w14:textId="77777777" w:rsidR="00665C05" w:rsidRPr="00665C05" w:rsidRDefault="00665C05" w:rsidP="00665C05">
      <w:pPr>
        <w:spacing w:after="100" w:afterAutospacing="1"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kern w:val="0"/>
          <w:sz w:val="24"/>
          <w:szCs w:val="24"/>
          <w:lang w:eastAsia="es-UY"/>
          <w14:ligatures w14:val="none"/>
        </w:rPr>
        <w:t>Este tipo de narrativas puede prevenirse y, por ende, mitigarse el riesgo de guerra narrativa, mediante estrategias de información adecuadas. De este modo, la cooperación y la participación oportuna de organizaciones indígenas y gobiernos subestatales pueden reducir el riesgo de que los desacuerdos sean explotados. Asimismo, el intercambio de información clasificada contribuye a que tanto los Estados como las organizaciones indígenas operen con un entendimiento compartido de la situación.</w:t>
      </w:r>
    </w:p>
    <w:p w14:paraId="77305F03" w14:textId="77777777" w:rsidR="00665C05" w:rsidRPr="00665C05" w:rsidRDefault="00665C05" w:rsidP="00665C05">
      <w:pPr>
        <w:spacing w:after="100" w:afterAutospacing="1"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kern w:val="0"/>
          <w:sz w:val="24"/>
          <w:szCs w:val="24"/>
          <w:lang w:eastAsia="es-UY"/>
          <w14:ligatures w14:val="none"/>
        </w:rPr>
        <w:t>La amenaza de la desinformación y de la influencia extranjera nociva está en aumento con el avance de la inteligencia artificial. Groenlandia, por ejemplo, estaba en cierta medida protegida debido a la dificultad de traducir automáticamente el groenlandés, pero los modelos de traducción de lenguaje a gran escala están cambiando esta realidad. En la medida en que los Estados, sus aliados y las organizaciones regionales actúan de manera cada vez más estratégica para posicionarse en el escenario geopolítico, con mayor frecuencia se dejan de lado los derechos de los Pueblos Indígenas en favor de esos intereses. </w:t>
      </w:r>
    </w:p>
    <w:p w14:paraId="15B9E8CF" w14:textId="77777777" w:rsidR="00665C05" w:rsidRPr="00665C05" w:rsidRDefault="00665C05" w:rsidP="00665C05">
      <w:pPr>
        <w:spacing w:after="100" w:afterAutospacing="1" w:line="240" w:lineRule="auto"/>
        <w:rPr>
          <w:rFonts w:ascii="Times New Roman" w:eastAsia="Times New Roman" w:hAnsi="Times New Roman" w:cs="Times New Roman"/>
          <w:kern w:val="0"/>
          <w:sz w:val="24"/>
          <w:szCs w:val="24"/>
          <w:lang w:eastAsia="es-UY"/>
          <w14:ligatures w14:val="none"/>
        </w:rPr>
      </w:pPr>
      <w:r w:rsidRPr="00665C05">
        <w:rPr>
          <w:rFonts w:ascii="Times New Roman" w:eastAsia="Times New Roman" w:hAnsi="Times New Roman" w:cs="Times New Roman"/>
          <w:b/>
          <w:bCs/>
          <w:kern w:val="0"/>
          <w:sz w:val="24"/>
          <w:szCs w:val="24"/>
          <w:lang w:eastAsia="es-UY"/>
          <w14:ligatures w14:val="none"/>
        </w:rPr>
        <w:t>Algunos de los siguientes aportes fueron presentados durante el seminario del Mecanismo de Expertos sobre los Derechos de los Pueblos Indígenas (EMRIP) en Ginebra, Suiza, del 3 al 5 de diciembre de 2025. Los aportes han sido formateado como un memorando.</w:t>
      </w:r>
    </w:p>
    <w:p w14:paraId="18250446" w14:textId="77777777" w:rsidR="00665C05" w:rsidRPr="00665C05" w:rsidRDefault="00665C05" w:rsidP="00665C05">
      <w:pPr>
        <w:spacing w:after="100" w:afterAutospacing="1" w:line="240" w:lineRule="auto"/>
        <w:rPr>
          <w:rFonts w:ascii="Times New Roman" w:eastAsia="Times New Roman" w:hAnsi="Times New Roman" w:cs="Times New Roman"/>
          <w:kern w:val="0"/>
          <w:sz w:val="24"/>
          <w:szCs w:val="24"/>
          <w:lang w:eastAsia="es-UY"/>
          <w14:ligatures w14:val="none"/>
        </w:rPr>
      </w:pPr>
    </w:p>
    <w:p w14:paraId="5F21B84F" w14:textId="77777777" w:rsidR="00665C05" w:rsidRPr="00665C05" w:rsidRDefault="00665C05" w:rsidP="00665C05">
      <w:pPr>
        <w:spacing w:after="0" w:line="240" w:lineRule="auto"/>
        <w:rPr>
          <w:rFonts w:ascii="Times New Roman" w:eastAsia="Times New Roman" w:hAnsi="Times New Roman" w:cs="Times New Roman"/>
          <w:color w:val="2B7AAA"/>
          <w:kern w:val="0"/>
          <w:sz w:val="24"/>
          <w:szCs w:val="24"/>
          <w:lang w:eastAsia="es-UY"/>
          <w14:ligatures w14:val="none"/>
        </w:rPr>
      </w:pPr>
      <w:r w:rsidRPr="00665C05">
        <w:rPr>
          <w:rFonts w:ascii="Times New Roman" w:eastAsia="Times New Roman" w:hAnsi="Times New Roman" w:cs="Times New Roman"/>
          <w:noProof/>
          <w:color w:val="2B7AAA"/>
          <w:kern w:val="0"/>
          <w:sz w:val="24"/>
          <w:szCs w:val="24"/>
          <w:lang w:eastAsia="es-UY"/>
          <w14:ligatures w14:val="none"/>
        </w:rPr>
        <w:drawing>
          <wp:inline distT="0" distB="0" distL="0" distR="0" wp14:anchorId="08D9AFB1" wp14:editId="2235D339">
            <wp:extent cx="952500" cy="952500"/>
            <wp:effectExtent l="0" t="0" r="0" b="0"/>
            <wp:docPr id="6" name="Imagen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2BA8A876" w14:textId="77777777" w:rsidR="00665C05" w:rsidRPr="00665C05" w:rsidRDefault="00000000" w:rsidP="00665C05">
      <w:pPr>
        <w:spacing w:after="100" w:afterAutospacing="1" w:line="240" w:lineRule="auto"/>
        <w:rPr>
          <w:rFonts w:ascii="Times New Roman" w:eastAsia="Times New Roman" w:hAnsi="Times New Roman" w:cs="Times New Roman"/>
          <w:color w:val="2B7AAA"/>
          <w:kern w:val="0"/>
          <w:sz w:val="24"/>
          <w:szCs w:val="24"/>
          <w:lang w:eastAsia="es-UY"/>
          <w14:ligatures w14:val="none"/>
        </w:rPr>
      </w:pPr>
      <w:hyperlink r:id="rId15" w:history="1">
        <w:r w:rsidR="00665C05" w:rsidRPr="00665C05">
          <w:rPr>
            <w:rFonts w:ascii="Times New Roman" w:eastAsia="Times New Roman" w:hAnsi="Times New Roman" w:cs="Times New Roman"/>
            <w:b/>
            <w:bCs/>
            <w:color w:val="2B7AAA"/>
            <w:kern w:val="0"/>
            <w:sz w:val="24"/>
            <w:szCs w:val="24"/>
            <w:lang w:eastAsia="es-UY"/>
            <w14:ligatures w14:val="none"/>
          </w:rPr>
          <w:t>Hans Peder Kirkegaard </w:t>
        </w:r>
      </w:hyperlink>
      <w:r w:rsidR="00665C05" w:rsidRPr="00665C05">
        <w:rPr>
          <w:rFonts w:ascii="Times New Roman" w:eastAsia="Times New Roman" w:hAnsi="Times New Roman" w:cs="Times New Roman"/>
          <w:color w:val="2B7AAA"/>
          <w:kern w:val="0"/>
          <w:sz w:val="24"/>
          <w:szCs w:val="24"/>
          <w:lang w:eastAsia="es-UY"/>
          <w14:ligatures w14:val="none"/>
        </w:rPr>
        <w:t>es becario Fulbright y estudiante de doctorado en la Universidad de Groenlandia, financiado por el Ministerio de Defensa de Dinamarca. Además,  es Magister en Negocios Internacionales (Universidad de Carolina del Sur) y  en Ciencias en Organización y Estrategia (Universidad de Aalborg), y ex investigador asociado del Arctic Initiative del Belfer Center de Harvard.</w:t>
      </w:r>
    </w:p>
    <w:p w14:paraId="007CD213" w14:textId="77777777" w:rsidR="00926044" w:rsidRDefault="00926044"/>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C05"/>
    <w:rsid w:val="00665C05"/>
    <w:rsid w:val="0086252B"/>
    <w:rsid w:val="00926044"/>
    <w:rsid w:val="0096095C"/>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E3E1A"/>
  <w15:chartTrackingRefBased/>
  <w15:docId w15:val="{553ACF05-E887-418D-8FA6-708F03634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65C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65C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65C0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65C0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5C0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5C0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5C0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5C0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5C0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5C0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65C0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65C0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65C0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5C0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5C0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5C0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5C0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5C05"/>
    <w:rPr>
      <w:rFonts w:eastAsiaTheme="majorEastAsia" w:cstheme="majorBidi"/>
      <w:color w:val="272727" w:themeColor="text1" w:themeTint="D8"/>
    </w:rPr>
  </w:style>
  <w:style w:type="paragraph" w:styleId="Ttulo">
    <w:name w:val="Title"/>
    <w:basedOn w:val="Normal"/>
    <w:next w:val="Normal"/>
    <w:link w:val="TtuloCar"/>
    <w:uiPriority w:val="10"/>
    <w:qFormat/>
    <w:rsid w:val="00665C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65C0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65C0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5C0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5C05"/>
    <w:pPr>
      <w:spacing w:before="160"/>
      <w:jc w:val="center"/>
    </w:pPr>
    <w:rPr>
      <w:i/>
      <w:iCs/>
      <w:color w:val="404040" w:themeColor="text1" w:themeTint="BF"/>
    </w:rPr>
  </w:style>
  <w:style w:type="character" w:customStyle="1" w:styleId="CitaCar">
    <w:name w:val="Cita Car"/>
    <w:basedOn w:val="Fuentedeprrafopredeter"/>
    <w:link w:val="Cita"/>
    <w:uiPriority w:val="29"/>
    <w:rsid w:val="00665C05"/>
    <w:rPr>
      <w:i/>
      <w:iCs/>
      <w:color w:val="404040" w:themeColor="text1" w:themeTint="BF"/>
    </w:rPr>
  </w:style>
  <w:style w:type="paragraph" w:styleId="Prrafodelista">
    <w:name w:val="List Paragraph"/>
    <w:basedOn w:val="Normal"/>
    <w:uiPriority w:val="34"/>
    <w:qFormat/>
    <w:rsid w:val="00665C05"/>
    <w:pPr>
      <w:ind w:left="720"/>
      <w:contextualSpacing/>
    </w:pPr>
  </w:style>
  <w:style w:type="character" w:styleId="nfasisintenso">
    <w:name w:val="Intense Emphasis"/>
    <w:basedOn w:val="Fuentedeprrafopredeter"/>
    <w:uiPriority w:val="21"/>
    <w:qFormat/>
    <w:rsid w:val="00665C05"/>
    <w:rPr>
      <w:i/>
      <w:iCs/>
      <w:color w:val="0F4761" w:themeColor="accent1" w:themeShade="BF"/>
    </w:rPr>
  </w:style>
  <w:style w:type="paragraph" w:styleId="Citadestacada">
    <w:name w:val="Intense Quote"/>
    <w:basedOn w:val="Normal"/>
    <w:next w:val="Normal"/>
    <w:link w:val="CitadestacadaCar"/>
    <w:uiPriority w:val="30"/>
    <w:qFormat/>
    <w:rsid w:val="00665C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5C05"/>
    <w:rPr>
      <w:i/>
      <w:iCs/>
      <w:color w:val="0F4761" w:themeColor="accent1" w:themeShade="BF"/>
    </w:rPr>
  </w:style>
  <w:style w:type="character" w:styleId="Referenciaintensa">
    <w:name w:val="Intense Reference"/>
    <w:basedOn w:val="Fuentedeprrafopredeter"/>
    <w:uiPriority w:val="32"/>
    <w:qFormat/>
    <w:rsid w:val="00665C0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201931054@N04/albums/72177720322438004/" TargetMode="External"/><Relationship Id="rId13" Type="http://schemas.openxmlformats.org/officeDocument/2006/relationships/hyperlink" Target="https://debatesindigenas.org/author/hans-peder-kirkegaard/"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s://www.flickr.com/photos/201931054@N04/albums/72177720322438004/"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flickr.com/photos/gridarendal/31603421472/in/dateposted/" TargetMode="External"/><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hyperlink" Target="https://debatesindigenas.org/author/hans-peder-kirkegaard/" TargetMode="External"/><Relationship Id="rId10" Type="http://schemas.openxmlformats.org/officeDocument/2006/relationships/hyperlink" Target="https://www.flickr.com/photos/201931054@N04/albums/72177720322438004/"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2448</Words>
  <Characters>11949</Characters>
  <Application>Microsoft Office Word</Application>
  <DocSecurity>0</DocSecurity>
  <Lines>234</Lines>
  <Paragraphs>56</Paragraphs>
  <ScaleCrop>false</ScaleCrop>
  <Company/>
  <LinksUpToDate>false</LinksUpToDate>
  <CharactersWithSpaces>14341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Oscar Elizalde</cp:lastModifiedBy>
  <cp:revision>2</cp:revision>
  <dcterms:created xsi:type="dcterms:W3CDTF">2026-05-07T14:37:00Z</dcterms:created>
  <dcterms:modified xsi:type="dcterms:W3CDTF">2026-05-10T08:33:00Z</dcterms:modified>
</cp:coreProperties>
</file>