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62B3" w14:textId="5558EE8B" w:rsidR="00CE1A2F" w:rsidRPr="002B1602" w:rsidRDefault="002B1602" w:rsidP="00F9460C">
      <w:pPr>
        <w:jc w:val="center"/>
        <w:rPr>
          <w:b/>
        </w:rPr>
      </w:pPr>
      <w:r>
        <w:rPr>
          <w:b/>
        </w:rPr>
        <w:t>Vaticano II: Dom Helder torna-se personalidade importante da Igreja Contemporânea</w:t>
      </w:r>
    </w:p>
    <w:p w14:paraId="17C73230" w14:textId="77777777" w:rsidR="002B1602" w:rsidRDefault="002B1602" w:rsidP="00745D16">
      <w:pPr>
        <w:ind w:firstLine="284"/>
        <w:jc w:val="both"/>
      </w:pPr>
    </w:p>
    <w:p w14:paraId="1978755C" w14:textId="5CA85791" w:rsidR="00CE1A2F" w:rsidRPr="001D5F2A" w:rsidRDefault="00CE1A2F" w:rsidP="00F9460C">
      <w:pPr>
        <w:spacing w:after="120"/>
        <w:ind w:firstLine="284"/>
        <w:jc w:val="both"/>
      </w:pPr>
      <w:r w:rsidRPr="001D5F2A">
        <w:t>Entre os diversos aspectos que chamam a atenção nas Circulares Conciliares</w:t>
      </w:r>
      <w:r>
        <w:t xml:space="preserve"> </w:t>
      </w:r>
      <w:r w:rsidR="002B1602">
        <w:t>de Dom Helder Camara durante o S</w:t>
      </w:r>
      <w:r w:rsidRPr="001D5F2A">
        <w:t>egundo Período</w:t>
      </w:r>
      <w:r>
        <w:t xml:space="preserve"> do Concílio</w:t>
      </w:r>
      <w:r w:rsidR="002B1602">
        <w:t xml:space="preserve"> Vaticano II</w:t>
      </w:r>
      <w:r>
        <w:t xml:space="preserve"> (29 de setembro a 4 de dezembro de 1963)</w:t>
      </w:r>
      <w:r w:rsidRPr="001D5F2A">
        <w:t xml:space="preserve">, </w:t>
      </w:r>
      <w:r w:rsidR="002B1602">
        <w:t xml:space="preserve">destacamos </w:t>
      </w:r>
      <w:r w:rsidRPr="001D5F2A">
        <w:t xml:space="preserve">a popularidade de Dom Helder nos </w:t>
      </w:r>
      <w:r>
        <w:t>m</w:t>
      </w:r>
      <w:r w:rsidRPr="001D5F2A">
        <w:t xml:space="preserve">eios de </w:t>
      </w:r>
      <w:r>
        <w:t>c</w:t>
      </w:r>
      <w:r w:rsidRPr="001D5F2A">
        <w:t xml:space="preserve">omunicação </w:t>
      </w:r>
      <w:r>
        <w:t>s</w:t>
      </w:r>
      <w:r w:rsidRPr="001D5F2A">
        <w:t>ocial</w:t>
      </w:r>
      <w:r w:rsidR="002B1602">
        <w:t xml:space="preserve"> europeus</w:t>
      </w:r>
      <w:r w:rsidRPr="001D5F2A">
        <w:t>, ocasião em que se torna uma das personalidades mais importantes da Igreja contemporânea.</w:t>
      </w:r>
    </w:p>
    <w:p w14:paraId="2D55324E" w14:textId="7DE5723F" w:rsidR="002B1602" w:rsidRDefault="00CE1A2F" w:rsidP="00F9460C">
      <w:pPr>
        <w:spacing w:after="120"/>
        <w:ind w:firstLine="284"/>
        <w:jc w:val="both"/>
      </w:pPr>
      <w:r w:rsidRPr="001D5F2A">
        <w:t>Dom Helder havia se tornado um dos Padres Conciliares mais requisitados pelos jor</w:t>
      </w:r>
      <w:r>
        <w:t>nalistas. Dess</w:t>
      </w:r>
      <w:r w:rsidRPr="001D5F2A">
        <w:t>e modo, o relativamente pouco conhecido Arcebispo Auxiliar do Rio de Janeiro se transformara em uma das personagens mais influentes na cena internacional da Igreja contemporânea</w:t>
      </w:r>
      <w:r>
        <w:t>.</w:t>
      </w:r>
      <w:r w:rsidRPr="001D5F2A">
        <w:t xml:space="preserve"> Ele escreveu à sua Família: “Os jornalistas chegam de todos os cantos para entrevistas: França, Suíça, Alemanha, USA... Falo-lhes de coração aberto, sem medo. Chegou a hora em que a Igreja tem de correr o risco da publicidade, se quiser chegar às grandes massas”</w:t>
      </w:r>
      <w:r>
        <w:t>.</w:t>
      </w:r>
    </w:p>
    <w:p w14:paraId="49EE8971" w14:textId="5044C8C2" w:rsidR="00F9460C" w:rsidRDefault="00F9460C" w:rsidP="00F9460C">
      <w:pPr>
        <w:pStyle w:val="Textonotapie"/>
        <w:spacing w:after="120"/>
      </w:pPr>
      <w:r>
        <w:tab/>
      </w:r>
      <w:r w:rsidR="00CE1A2F" w:rsidRPr="001D5F2A">
        <w:t xml:space="preserve">Em novembro de 1963, Dom Helder é elogiado por um redator do </w:t>
      </w:r>
      <w:r w:rsidR="00CE1A2F" w:rsidRPr="001D5F2A">
        <w:rPr>
          <w:i/>
        </w:rPr>
        <w:t>Informations Catholiques Internatinales</w:t>
      </w:r>
      <w:r w:rsidR="006575A8">
        <w:t>. O redator</w:t>
      </w:r>
      <w:r w:rsidR="00CE1A2F" w:rsidRPr="001D5F2A">
        <w:t xml:space="preserve"> disse</w:t>
      </w:r>
      <w:r w:rsidR="006575A8">
        <w:t>-lhe</w:t>
      </w:r>
      <w:r w:rsidR="00CE1A2F" w:rsidRPr="001D5F2A">
        <w:t xml:space="preserve">: </w:t>
      </w:r>
      <w:r w:rsidR="002B1602">
        <w:t>‘</w:t>
      </w:r>
      <w:r w:rsidR="00CE1A2F" w:rsidRPr="001D5F2A">
        <w:t>“Sou um homem frio, acostumado a julgamentos objetivos. Você não se pertence: é uma arma secreta da Igreja de que nós precisamos para acordar a Europa e os USA. É indispensável sua ida à França, para falar, sem preo</w:t>
      </w:r>
      <w:r w:rsidR="002B1602">
        <w:t xml:space="preserve">cupação de tempo, na TV’. Ele ficou </w:t>
      </w:r>
      <w:r w:rsidR="00CE1A2F" w:rsidRPr="001D5F2A">
        <w:t xml:space="preserve">de vir à </w:t>
      </w:r>
      <w:r w:rsidR="00CE1A2F" w:rsidRPr="006575A8">
        <w:rPr>
          <w:i/>
        </w:rPr>
        <w:t>Domus Mariae</w:t>
      </w:r>
      <w:r w:rsidR="00CE1A2F" w:rsidRPr="001D5F2A">
        <w:t xml:space="preserve"> jantar e tentar convencer-me...”</w:t>
      </w:r>
      <w:r w:rsidR="00CE1A2F">
        <w:t>.</w:t>
      </w:r>
    </w:p>
    <w:p w14:paraId="0611F0BF" w14:textId="68EB7675" w:rsidR="00F9460C" w:rsidRDefault="00F9460C" w:rsidP="00F9460C">
      <w:pPr>
        <w:pStyle w:val="Textonotapie"/>
        <w:spacing w:after="120"/>
      </w:pPr>
      <w:r>
        <w:tab/>
      </w:r>
      <w:r w:rsidR="00CE1A2F" w:rsidRPr="001D5F2A">
        <w:t xml:space="preserve">O jornalista </w:t>
      </w:r>
      <w:r w:rsidR="006575A8">
        <w:t xml:space="preserve">Henri </w:t>
      </w:r>
      <w:r w:rsidR="00CE1A2F" w:rsidRPr="001D5F2A">
        <w:t>Fesquet o convidou para ir à França, a fim de ajudar os padres e militantes franceses: “</w:t>
      </w:r>
      <w:r w:rsidR="00CE1A2F" w:rsidRPr="001D5F2A">
        <w:rPr>
          <w:b/>
        </w:rPr>
        <w:t>Fesquet, redator de ‘Le Monde’</w:t>
      </w:r>
      <w:r w:rsidR="00CE1A2F" w:rsidRPr="001D5F2A">
        <w:t>, cujo livro sobre o Concílio tanto nos agradou (livro de jornalista)</w:t>
      </w:r>
      <w:r w:rsidR="00CE1A2F">
        <w:t>,</w:t>
      </w:r>
      <w:r w:rsidR="00CE1A2F" w:rsidRPr="001D5F2A">
        <w:t xml:space="preserve"> tratou-me com um carinho imenso”</w:t>
      </w:r>
      <w:r w:rsidR="00CE1A2F">
        <w:t>.</w:t>
      </w:r>
      <w:r w:rsidR="001913B9">
        <w:t xml:space="preserve"> </w:t>
      </w:r>
      <w:r w:rsidR="001913B9" w:rsidRPr="001D5F2A">
        <w:t xml:space="preserve"> </w:t>
      </w:r>
      <w:r w:rsidR="00CE1A2F" w:rsidRPr="001D5F2A">
        <w:t>O Dom encontrou-se várias vezes com</w:t>
      </w:r>
      <w:r w:rsidR="006575A8">
        <w:t xml:space="preserve"> Jean</w:t>
      </w:r>
      <w:r w:rsidR="00CE1A2F" w:rsidRPr="001D5F2A">
        <w:t xml:space="preserve"> Guitton: “Ele se comove profundamente quando me vê. Considera-me </w:t>
      </w:r>
      <w:r w:rsidR="00CE1A2F" w:rsidRPr="001D5F2A">
        <w:rPr>
          <w:b/>
        </w:rPr>
        <w:t>profeta</w:t>
      </w:r>
      <w:r w:rsidR="00CE1A2F" w:rsidRPr="001D5F2A">
        <w:t>”</w:t>
      </w:r>
      <w:r w:rsidR="002B1602">
        <w:t>.</w:t>
      </w:r>
      <w:r>
        <w:t xml:space="preserve"> Para</w:t>
      </w:r>
      <w:r w:rsidR="006575A8">
        <w:t xml:space="preserve"> a Família São Joaquim escreveu:</w:t>
      </w:r>
      <w:r w:rsidRPr="002E7B58">
        <w:t xml:space="preserve"> “</w:t>
      </w:r>
      <w:r w:rsidRPr="002E7B58">
        <w:rPr>
          <w:b/>
        </w:rPr>
        <w:t>hoje, tive a audácia de falar, em italiano,</w:t>
      </w:r>
      <w:r w:rsidR="006575A8">
        <w:t xml:space="preserve"> à TV italiana”.</w:t>
      </w:r>
    </w:p>
    <w:p w14:paraId="5C4B03EA" w14:textId="64E9FA0D" w:rsidR="00CE1A2F" w:rsidRDefault="00F9460C" w:rsidP="00F9460C">
      <w:pPr>
        <w:pStyle w:val="Textonotapie"/>
        <w:spacing w:after="120"/>
      </w:pPr>
      <w:r>
        <w:tab/>
      </w:r>
      <w:r w:rsidR="00CE1A2F" w:rsidRPr="001D5F2A">
        <w:t>Fechando o Segundo Período do Vaticano II, o Arcebispo Auxiliar do Rio de Janeiro fez uma palestra em “sotaque nordestino e gestos complementares” na Libreria Internazionale Paesi Nuovi, promovida por Témoignage Chrétien com o tema “Sucessos e insucessos da 2</w:t>
      </w:r>
      <w:r w:rsidR="00CE1A2F">
        <w:t>.</w:t>
      </w:r>
      <w:r w:rsidR="00CE1A2F" w:rsidRPr="001D5F2A">
        <w:t xml:space="preserve">ª Sessão do Vaticano II”. Disse que há todo um balanço positivo que não temos o direito de esquecer. Entre os sucessos destacou a ampliação do apelo ecumênico, os discursos do Papa e a vontade de internacionalizar e renovar a </w:t>
      </w:r>
      <w:r w:rsidR="00CE1A2F">
        <w:t>C</w:t>
      </w:r>
      <w:r w:rsidR="00CE1A2F" w:rsidRPr="001D5F2A">
        <w:t xml:space="preserve">úria </w:t>
      </w:r>
      <w:r w:rsidR="00CE1A2F">
        <w:t>R</w:t>
      </w:r>
      <w:r w:rsidR="00CE1A2F" w:rsidRPr="001D5F2A">
        <w:t>omana, a chegada dos Auditores e a participação de leigos nas Comissões, a experiência da colegialidade episcopal. Recordou que, nos espaços informais, o Ecumênico realizou 25 conferências e o CELAM começou a organizar encontros entre teólogos do mundo desenvolvido e do mundo em desenvolvimento. Os insucessos foram: esquema sobre instrumentos de comunicação social e “Constantino continua vivo dentro de nós...”</w:t>
      </w:r>
      <w:r w:rsidR="00CE1A2F">
        <w:t>.</w:t>
      </w:r>
      <w:r w:rsidR="001913B9" w:rsidRPr="001D5F2A">
        <w:t xml:space="preserve"> </w:t>
      </w:r>
      <w:r w:rsidR="00CE1A2F" w:rsidRPr="001D5F2A">
        <w:t>A palestra de Dom Helder foi disputadíssima. A sala não era muito grande e padres, seminaristas e leigos fizeram-na transbordar. Havia gente espar</w:t>
      </w:r>
      <w:r w:rsidR="00CE1A2F">
        <w:t>r</w:t>
      </w:r>
      <w:r w:rsidR="00CE1A2F" w:rsidRPr="001D5F2A">
        <w:t>amada pelas escadas e api</w:t>
      </w:r>
      <w:r w:rsidR="00CE1A2F">
        <w:t xml:space="preserve">nhando </w:t>
      </w:r>
      <w:r w:rsidR="00CE1A2F" w:rsidRPr="001D5F2A">
        <w:t>o corredor...</w:t>
      </w:r>
    </w:p>
    <w:p w14:paraId="5B211A66" w14:textId="6A6A787C" w:rsidR="002B1602" w:rsidRDefault="002B1602" w:rsidP="002B1602">
      <w:pPr>
        <w:ind w:firstLine="284"/>
        <w:jc w:val="right"/>
      </w:pPr>
      <w:r>
        <w:t>Pe. Ivanir Antonio Rampon</w:t>
      </w:r>
    </w:p>
    <w:p w14:paraId="119D13B4" w14:textId="48DA9A81" w:rsidR="002B1602" w:rsidRDefault="002B1602" w:rsidP="002B1602">
      <w:pPr>
        <w:ind w:firstLine="284"/>
        <w:jc w:val="right"/>
      </w:pPr>
      <w:r>
        <w:t>Teólogo</w:t>
      </w:r>
    </w:p>
    <w:p w14:paraId="05661072" w14:textId="3791A721" w:rsidR="00E00879" w:rsidRDefault="00E00879" w:rsidP="002B1602">
      <w:pPr>
        <w:ind w:firstLine="284"/>
        <w:jc w:val="right"/>
      </w:pPr>
    </w:p>
    <w:p w14:paraId="5364831D" w14:textId="77777777" w:rsidR="00E00879" w:rsidRPr="00F15DD4" w:rsidRDefault="00E00879" w:rsidP="00E00879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76373BEE" w14:textId="77777777" w:rsidR="006575A8" w:rsidRPr="005B774E" w:rsidRDefault="006575A8" w:rsidP="001913B9">
      <w:pPr>
        <w:ind w:left="426" w:hanging="426"/>
        <w:jc w:val="both"/>
      </w:pPr>
      <w:r w:rsidRPr="002E7B58">
        <w:rPr>
          <w:smallCaps/>
        </w:rPr>
        <w:t>Beozzo</w:t>
      </w:r>
      <w:r w:rsidRPr="002E7B58">
        <w:t>, J</w:t>
      </w:r>
      <w:r>
        <w:t>osé</w:t>
      </w:r>
      <w:r w:rsidRPr="002E7B58">
        <w:t>. “Dom Helder Camara e o Vaticano II”</w:t>
      </w:r>
      <w:r>
        <w:t xml:space="preserve">, in Zildo </w:t>
      </w:r>
      <w:r w:rsidRPr="001913B9">
        <w:rPr>
          <w:smallCaps/>
        </w:rPr>
        <w:t>Rocha</w:t>
      </w:r>
      <w:r>
        <w:t xml:space="preserve">, </w:t>
      </w:r>
      <w:r w:rsidRPr="00EA5EDF">
        <w:rPr>
          <w:i/>
          <w:lang w:val="en-US"/>
        </w:rPr>
        <w:t xml:space="preserve">Helder, o Dom. </w:t>
      </w:r>
      <w:r w:rsidRPr="00E1706A">
        <w:rPr>
          <w:i/>
        </w:rPr>
        <w:t>Uma vida que marcou os rumos da Igreja no Brasil</w:t>
      </w:r>
      <w:r>
        <w:t>. Petrópolis: Vozes,</w:t>
      </w:r>
      <w:r w:rsidRPr="002E7B58">
        <w:t xml:space="preserve"> </w:t>
      </w:r>
      <w:r>
        <w:t>p.103-104.</w:t>
      </w:r>
    </w:p>
    <w:p w14:paraId="4003182A" w14:textId="77777777" w:rsidR="006575A8" w:rsidRPr="00F15DD4" w:rsidRDefault="006575A8" w:rsidP="00E00879">
      <w:pPr>
        <w:ind w:left="426" w:hanging="426"/>
        <w:jc w:val="both"/>
      </w:pPr>
      <w:r w:rsidRPr="00F15DD4">
        <w:rPr>
          <w:iCs/>
          <w:smallCaps/>
        </w:rPr>
        <w:t>Camara</w:t>
      </w:r>
      <w:r w:rsidRPr="00F15DD4">
        <w:rPr>
          <w:iCs/>
        </w:rPr>
        <w:t>, Dom Helder.</w:t>
      </w:r>
      <w:r w:rsidRPr="00F15DD4">
        <w:rPr>
          <w:i/>
        </w:rPr>
        <w:t xml:space="preserve"> Circulares Conciliares</w:t>
      </w:r>
      <w:r w:rsidRPr="00F15DD4"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51C2E317" w14:textId="77777777" w:rsidR="006575A8" w:rsidRPr="00F15DD4" w:rsidRDefault="006575A8" w:rsidP="00E00879">
      <w:pPr>
        <w:ind w:left="426" w:hanging="426"/>
        <w:jc w:val="both"/>
        <w:rPr>
          <w:lang w:val="it-IT"/>
        </w:rPr>
      </w:pPr>
      <w:bookmarkStart w:id="0" w:name="_Hlk214384049"/>
      <w:bookmarkStart w:id="1" w:name="_Hlk196216115"/>
      <w:bookmarkStart w:id="2" w:name="_Hlk196216206"/>
      <w:r w:rsidRPr="00F15DD4">
        <w:rPr>
          <w:smallCaps/>
        </w:rPr>
        <w:t>Rampon</w:t>
      </w:r>
      <w:r w:rsidRPr="00F15DD4">
        <w:t xml:space="preserve">, Ivanir Antonio. </w:t>
      </w:r>
      <w:r w:rsidRPr="00F15DD4">
        <w:rPr>
          <w:i/>
          <w:iCs/>
        </w:rPr>
        <w:t>Francisco e Helder – Sintonia Espiritual</w:t>
      </w:r>
      <w:r>
        <w:t xml:space="preserve">. São Paulo: Paulinas, p. </w:t>
      </w:r>
      <w:r w:rsidRPr="00F15DD4">
        <w:t>120, 2016.</w:t>
      </w:r>
      <w:bookmarkEnd w:id="0"/>
      <w:bookmarkEnd w:id="1"/>
    </w:p>
    <w:bookmarkEnd w:id="2"/>
    <w:p w14:paraId="3C8ECF69" w14:textId="7FC06A01" w:rsidR="006575A8" w:rsidRDefault="006575A8" w:rsidP="001913B9">
      <w:pPr>
        <w:ind w:left="425" w:hanging="425"/>
        <w:jc w:val="both"/>
      </w:pPr>
      <w:r w:rsidRPr="00F15DD4">
        <w:rPr>
          <w:smallCaps/>
        </w:rPr>
        <w:t>Rampon</w:t>
      </w:r>
      <w:r w:rsidRPr="00F15DD4">
        <w:t xml:space="preserve">, Ivanir Antonio. </w:t>
      </w:r>
      <w:r w:rsidRPr="00F15DD4">
        <w:rPr>
          <w:i/>
          <w:iCs/>
        </w:rPr>
        <w:t>O caminho espiritual de Dom Helder Camara</w:t>
      </w:r>
      <w:r w:rsidRPr="00F15DD4">
        <w:t>.</w:t>
      </w:r>
      <w:r>
        <w:t xml:space="preserve"> São Paulo: Paulinas, p. 218-219</w:t>
      </w:r>
      <w:r w:rsidRPr="00F15DD4">
        <w:t>, 2013.</w:t>
      </w:r>
    </w:p>
    <w:p w14:paraId="13AFB010" w14:textId="5602077D" w:rsidR="005152D3" w:rsidRDefault="005152D3" w:rsidP="001913B9">
      <w:pPr>
        <w:ind w:left="425" w:hanging="425"/>
        <w:jc w:val="both"/>
      </w:pPr>
    </w:p>
    <w:p w14:paraId="26E630A9" w14:textId="26260946" w:rsidR="005152D3" w:rsidRDefault="005152D3" w:rsidP="001913B9">
      <w:pPr>
        <w:ind w:left="425" w:hanging="425"/>
        <w:jc w:val="both"/>
      </w:pPr>
      <w:hyperlink r:id="rId6" w:history="1">
        <w:r w:rsidRPr="00C62879">
          <w:rPr>
            <w:rStyle w:val="Hipervnculo"/>
          </w:rPr>
          <w:t>https://domheldercamara.org.br/2026/03/19/causos-do-dom-82/</w:t>
        </w:r>
      </w:hyperlink>
    </w:p>
    <w:p w14:paraId="7B14ECA2" w14:textId="1C3E8B7D" w:rsidR="005152D3" w:rsidRDefault="005152D3" w:rsidP="001913B9">
      <w:pPr>
        <w:ind w:left="425" w:hanging="425"/>
        <w:jc w:val="both"/>
      </w:pPr>
    </w:p>
    <w:p w14:paraId="2679F1B6" w14:textId="77777777" w:rsidR="005152D3" w:rsidRDefault="005152D3" w:rsidP="001913B9">
      <w:pPr>
        <w:ind w:left="425" w:hanging="425"/>
        <w:jc w:val="both"/>
      </w:pPr>
    </w:p>
    <w:sectPr w:rsidR="005152D3" w:rsidSect="00CE1A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6641" w14:textId="77777777" w:rsidR="00EA54E3" w:rsidRDefault="00EA54E3" w:rsidP="006D523B">
      <w:r>
        <w:separator/>
      </w:r>
    </w:p>
  </w:endnote>
  <w:endnote w:type="continuationSeparator" w:id="0">
    <w:p w14:paraId="06E05390" w14:textId="77777777" w:rsidR="00EA54E3" w:rsidRDefault="00EA54E3" w:rsidP="006D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0144" w14:textId="77777777" w:rsidR="00EA54E3" w:rsidRDefault="00EA54E3" w:rsidP="006D523B">
      <w:r>
        <w:separator/>
      </w:r>
    </w:p>
  </w:footnote>
  <w:footnote w:type="continuationSeparator" w:id="0">
    <w:p w14:paraId="061FDD54" w14:textId="77777777" w:rsidR="00EA54E3" w:rsidRDefault="00EA54E3" w:rsidP="006D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3B"/>
    <w:rsid w:val="000963D1"/>
    <w:rsid w:val="000A4B89"/>
    <w:rsid w:val="000F7010"/>
    <w:rsid w:val="001913B9"/>
    <w:rsid w:val="002B1602"/>
    <w:rsid w:val="005152D3"/>
    <w:rsid w:val="005F234F"/>
    <w:rsid w:val="006575A8"/>
    <w:rsid w:val="006D523B"/>
    <w:rsid w:val="00745D16"/>
    <w:rsid w:val="00766328"/>
    <w:rsid w:val="007F3A6A"/>
    <w:rsid w:val="009B3133"/>
    <w:rsid w:val="009B6D5A"/>
    <w:rsid w:val="009D1528"/>
    <w:rsid w:val="00A73DF3"/>
    <w:rsid w:val="00A745AB"/>
    <w:rsid w:val="00AE7A7B"/>
    <w:rsid w:val="00C1051C"/>
    <w:rsid w:val="00C4652E"/>
    <w:rsid w:val="00CA72C2"/>
    <w:rsid w:val="00CB7736"/>
    <w:rsid w:val="00CE1A2F"/>
    <w:rsid w:val="00CF292F"/>
    <w:rsid w:val="00E00879"/>
    <w:rsid w:val="00EA54E3"/>
    <w:rsid w:val="00EE4D4F"/>
    <w:rsid w:val="00F42DAF"/>
    <w:rsid w:val="00F7338C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0D77"/>
  <w15:chartTrackingRefBased/>
  <w15:docId w15:val="{85DDA515-471A-4C29-BFEC-DE8C9411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3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paragraph" w:styleId="Textonotapie">
    <w:name w:val="footnote text"/>
    <w:basedOn w:val="Normal"/>
    <w:link w:val="TextonotapieCar"/>
    <w:autoRedefine/>
    <w:semiHidden/>
    <w:rsid w:val="006D523B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6D523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6D523B"/>
    <w:rPr>
      <w:rFonts w:ascii="Times New Roman" w:hAnsi="Times New Roman"/>
      <w:sz w:val="24"/>
      <w:vertAlign w:val="superscript"/>
    </w:rPr>
  </w:style>
  <w:style w:type="character" w:styleId="Refdecomentario">
    <w:name w:val="annotation reference"/>
    <w:rsid w:val="006D52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52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523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2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3B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52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3/19/causos-do-dom-8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2026-05-12T13:59:00Z</dcterms:created>
  <dcterms:modified xsi:type="dcterms:W3CDTF">2026-05-12T13:59:00Z</dcterms:modified>
</cp:coreProperties>
</file>