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3E19" w14:textId="77777777" w:rsidR="00926044" w:rsidRDefault="00926044"/>
    <w:p w14:paraId="17113064" w14:textId="77777777" w:rsidR="002022EB" w:rsidRDefault="002022EB" w:rsidP="002022EB">
      <w:pPr>
        <w:shd w:val="clear" w:color="auto" w:fill="FFFFFF"/>
        <w:spacing w:after="0" w:line="240" w:lineRule="auto"/>
        <w:ind w:left="720"/>
      </w:pPr>
    </w:p>
    <w:p w14:paraId="2EDD9F98" w14:textId="77777777" w:rsidR="002022EB" w:rsidRDefault="002022EB" w:rsidP="002022EB">
      <w:pPr>
        <w:shd w:val="clear" w:color="auto" w:fill="FFFFFF"/>
        <w:spacing w:after="0" w:line="240" w:lineRule="auto"/>
        <w:ind w:left="720"/>
      </w:pPr>
    </w:p>
    <w:p w14:paraId="4FFD048F" w14:textId="77777777" w:rsidR="002022EB" w:rsidRPr="002022EB" w:rsidRDefault="002022EB" w:rsidP="002022EB">
      <w:pPr>
        <w:shd w:val="clear" w:color="auto" w:fill="FFFFFF"/>
        <w:spacing w:after="0" w:line="240" w:lineRule="auto"/>
        <w:jc w:val="both"/>
        <w:outlineLvl w:val="0"/>
        <w:rPr>
          <w:rFonts w:ascii="Nunito" w:eastAsia="Times New Roman" w:hAnsi="Nunito" w:cs="Times New Roman"/>
          <w:b/>
          <w:bCs/>
          <w:color w:val="2C2F34"/>
          <w:kern w:val="36"/>
          <w:sz w:val="48"/>
          <w:szCs w:val="48"/>
          <w:lang w:eastAsia="es-UY"/>
          <w14:ligatures w14:val="none"/>
        </w:rPr>
      </w:pPr>
      <w:r w:rsidRPr="002022EB">
        <w:rPr>
          <w:rFonts w:ascii="Nunito" w:eastAsia="Times New Roman" w:hAnsi="Nunito" w:cs="Times New Roman"/>
          <w:b/>
          <w:bCs/>
          <w:color w:val="2C2F34"/>
          <w:kern w:val="36"/>
          <w:sz w:val="48"/>
          <w:szCs w:val="48"/>
          <w:bdr w:val="none" w:sz="0" w:space="0" w:color="auto" w:frame="1"/>
          <w:lang w:eastAsia="es-UY"/>
          <w14:ligatures w14:val="none"/>
        </w:rPr>
        <w:t>CEB: ¿Guardianes de la memoria o generadores del futuro?</w:t>
      </w:r>
    </w:p>
    <w:p w14:paraId="491B09D9" w14:textId="77777777" w:rsidR="002022EB" w:rsidRDefault="002022EB" w:rsidP="002022EB">
      <w:pPr>
        <w:shd w:val="clear" w:color="auto" w:fill="FFFFFF"/>
        <w:spacing w:after="0" w:line="240" w:lineRule="auto"/>
        <w:ind w:left="720"/>
      </w:pPr>
    </w:p>
    <w:p w14:paraId="4C4EEE4F" w14:textId="77777777" w:rsidR="002022EB" w:rsidRDefault="002022EB" w:rsidP="002022EB">
      <w:pPr>
        <w:shd w:val="clear" w:color="auto" w:fill="FFFFFF"/>
        <w:spacing w:after="0" w:line="240" w:lineRule="auto"/>
        <w:ind w:left="720"/>
      </w:pPr>
    </w:p>
    <w:p w14:paraId="187C2658" w14:textId="2D55B6B4" w:rsidR="002022EB" w:rsidRPr="002022EB" w:rsidRDefault="002022EB" w:rsidP="002022EB">
      <w:pPr>
        <w:shd w:val="clear" w:color="auto" w:fill="FFFFFF"/>
        <w:spacing w:after="0" w:line="240" w:lineRule="auto"/>
        <w:ind w:left="720"/>
        <w:rPr>
          <w:rFonts w:ascii="Nunito" w:eastAsia="Times New Roman" w:hAnsi="Nunito" w:cs="Times New Roman"/>
          <w:b/>
          <w:bCs/>
          <w:color w:val="2C2F34"/>
          <w:kern w:val="0"/>
          <w:sz w:val="28"/>
          <w:szCs w:val="28"/>
          <w:lang w:eastAsia="es-UY"/>
          <w14:ligatures w14:val="none"/>
        </w:rPr>
      </w:pPr>
      <w:hyperlink r:id="rId5" w:history="1">
        <w:r w:rsidRPr="002022EB">
          <w:rPr>
            <w:rFonts w:ascii="Nunito" w:eastAsia="Times New Roman" w:hAnsi="Nunito" w:cs="Times New Roman"/>
            <w:b/>
            <w:bCs/>
            <w:color w:val="FF6600"/>
            <w:kern w:val="0"/>
            <w:sz w:val="28"/>
            <w:szCs w:val="28"/>
            <w:bdr w:val="none" w:sz="0" w:space="0" w:color="auto" w:frame="1"/>
            <w:lang w:eastAsia="es-UY"/>
            <w14:ligatures w14:val="none"/>
          </w:rPr>
          <w:t>Por Carlos Jardel</w:t>
        </w:r>
      </w:hyperlink>
    </w:p>
    <w:p w14:paraId="6DD7C838"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En mi columna anterior ( </w:t>
      </w:r>
      <w:hyperlink r:id="rId6" w:history="1">
        <w:r w:rsidRPr="002022EB">
          <w:rPr>
            <w:rFonts w:ascii="Nunito" w:eastAsia="Times New Roman" w:hAnsi="Nunito" w:cs="Times New Roman"/>
            <w:b/>
            <w:bCs/>
            <w:color w:val="FF6600"/>
            <w:kern w:val="0"/>
            <w:sz w:val="24"/>
            <w:szCs w:val="24"/>
            <w:bdr w:val="none" w:sz="0" w:space="0" w:color="auto" w:frame="1"/>
            <w:lang w:eastAsia="es-UY"/>
            <w14:ligatures w14:val="none"/>
          </w:rPr>
          <w:t>léala aquí</w:t>
        </w:r>
      </w:hyperlink>
      <w:r w:rsidRPr="002022EB">
        <w:rPr>
          <w:rFonts w:ascii="Nunito" w:eastAsia="Times New Roman" w:hAnsi="Nunito" w:cs="Times New Roman"/>
          <w:color w:val="2C2F34"/>
          <w:kern w:val="0"/>
          <w:sz w:val="24"/>
          <w:szCs w:val="24"/>
          <w:bdr w:val="none" w:sz="0" w:space="0" w:color="auto" w:frame="1"/>
          <w:lang w:eastAsia="es-UY"/>
          <w14:ligatures w14:val="none"/>
        </w:rPr>
        <w:t> ), abordé el agotamiento de las Comunidades Eclesiales de Base (CEB) como forma histórica de organización, marcado por cambios estructurales en la sociedad que disolvieron la base social que las sostenía. Ahora, el siguiente paso es tratar un punto aún más delicado. Porque el problema no es solo estructural, sino también interno. Existe una incomodidad que muchos evitan expresar en voz alta, pero las Comunidades Eclesiales de Base corren el riesgo de convertirse en guardianas de la memoria, y no en generadoras del futuro. Y esto no se explica únicamente por la falta de juventud. La raíz es más profunda. Se trata de la dificultad real de redistribuir el poder, revisar los métodos y admitir que el mundo ha cambiado, y demasiado rápido para estructuras que, en muchos casos, siguen funcionando como si nada hubiera cambiado.</w:t>
      </w:r>
    </w:p>
    <w:p w14:paraId="5D336176"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0A290CC6"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Aquí, el análisis sociológico ayuda a llevar el debate más allá del ámbito de la opinión. Como ya señalan las lecturas críticas de la modernidad tardía —pensemos en autores como Zygmunt Bauman y Manuel Castells—, vivimos en una época en la que, en palabras de Bauman, «las relaciones se desvanecen», marcada por la fluidez y la fragilidad de los vínculos; mientras que Castells subraya que «el poder se organiza en redes», desplazando los antiguos centros estables de organización social. Esto no es un detalle. Es un cambio fundamental. Las Comunidades Eclesiales de Base (CEB) nacieron en un contexto de mayor estabilidad territorial, convivencia continua y la construcción paciente de lazos comunitarios. Hoy, la vida está marcada por la movilidad, la precariedad y las conexiones intermitentes. El modelo clásico de comunidad simplemente ya no se ajusta con la misma facilidad.</w:t>
      </w:r>
    </w:p>
    <w:p w14:paraId="7A352D79"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63DBC84B"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Pero reconocer esto no es suficiente. Porque el problema tiene otra dimensión, e incluso donde aún existe una base, a menudo no hay apertura.</w:t>
      </w:r>
    </w:p>
    <w:p w14:paraId="5B06410F"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019FC037"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 xml:space="preserve">Las Comunidades Eclesiales de Base (CEB) nacieron como una ruptura. Inspiradas por el Concilio Vaticano II e impulsadas por la Conferencia de Medellín, confrontaron el clericalismo y reinventaron la Iglesia desde la </w:t>
      </w:r>
      <w:r w:rsidRPr="002022EB">
        <w:rPr>
          <w:rFonts w:ascii="Nunito" w:eastAsia="Times New Roman" w:hAnsi="Nunito" w:cs="Times New Roman"/>
          <w:color w:val="2C2F34"/>
          <w:kern w:val="0"/>
          <w:sz w:val="24"/>
          <w:szCs w:val="24"/>
          <w:bdr w:val="none" w:sz="0" w:space="0" w:color="auto" w:frame="1"/>
          <w:lang w:eastAsia="es-UY"/>
          <w14:ligatures w14:val="none"/>
        </w:rPr>
        <w:lastRenderedPageBreak/>
        <w:t>perspectiva del pueblo. Colocaron a los pobres en el centro, rompieron con las estructuras rígidas y se atrevieron a ser diferentes. Pero existe una incómoda ironía que debemos afrontar, y disculpen mi franqueza, pero quienes nacieron para romper con el statu quo, hoy, en muchos casos, se resisten a romper.</w:t>
      </w:r>
    </w:p>
    <w:p w14:paraId="41DCAA4E"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689D9EB9"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La dificultad generacional no radica solo en la falta de juventud. Se trata de un bloqueo en la circulación del poder. Los líderes históricos, forjados en la lucha, la represión y la resistencia, se han convertido en referentes indiscutibles. Y precisamente por eso, resulta difícil cuestionarlos o reemplazarlos. La autoridad construida en la práctica se cristaliza gradualmente.</w:t>
      </w:r>
    </w:p>
    <w:p w14:paraId="0DD5852B"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01DF0783"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Y aquí surge una provocación necesaria para la propia Teología de la Liberación. Esta siempre ha insistido en que la fe cristiana es una práctica histórica, encarnada en la realidad y comprometida con la transformación. Pero ¿qué sucede cuando el método se convierte en ritual? ¿</w:t>
      </w:r>
      <w:proofErr w:type="spellStart"/>
      <w:proofErr w:type="gramStart"/>
      <w:r w:rsidRPr="002022EB">
        <w:rPr>
          <w:rFonts w:ascii="Nunito" w:eastAsia="Times New Roman" w:hAnsi="Nunito" w:cs="Times New Roman"/>
          <w:color w:val="2C2F34"/>
          <w:kern w:val="0"/>
          <w:sz w:val="24"/>
          <w:szCs w:val="24"/>
          <w:bdr w:val="none" w:sz="0" w:space="0" w:color="auto" w:frame="1"/>
          <w:lang w:eastAsia="es-UY"/>
          <w14:ligatures w14:val="none"/>
        </w:rPr>
        <w:t>Cuando</w:t>
      </w:r>
      <w:proofErr w:type="spellEnd"/>
      <w:proofErr w:type="gramEnd"/>
      <w:r w:rsidRPr="002022EB">
        <w:rPr>
          <w:rFonts w:ascii="Nunito" w:eastAsia="Times New Roman" w:hAnsi="Nunito" w:cs="Times New Roman"/>
          <w:color w:val="2C2F34"/>
          <w:kern w:val="0"/>
          <w:sz w:val="24"/>
          <w:szCs w:val="24"/>
          <w:bdr w:val="none" w:sz="0" w:space="0" w:color="auto" w:frame="1"/>
          <w:lang w:eastAsia="es-UY"/>
          <w14:ligatures w14:val="none"/>
        </w:rPr>
        <w:t xml:space="preserve"> el análisis se repite sin mediación con el presente? ¿</w:t>
      </w:r>
      <w:proofErr w:type="spellStart"/>
      <w:proofErr w:type="gramStart"/>
      <w:r w:rsidRPr="002022EB">
        <w:rPr>
          <w:rFonts w:ascii="Nunito" w:eastAsia="Times New Roman" w:hAnsi="Nunito" w:cs="Times New Roman"/>
          <w:color w:val="2C2F34"/>
          <w:kern w:val="0"/>
          <w:sz w:val="24"/>
          <w:szCs w:val="24"/>
          <w:bdr w:val="none" w:sz="0" w:space="0" w:color="auto" w:frame="1"/>
          <w:lang w:eastAsia="es-UY"/>
          <w14:ligatures w14:val="none"/>
        </w:rPr>
        <w:t>Cuando</w:t>
      </w:r>
      <w:proofErr w:type="spellEnd"/>
      <w:proofErr w:type="gramEnd"/>
      <w:r w:rsidRPr="002022EB">
        <w:rPr>
          <w:rFonts w:ascii="Nunito" w:eastAsia="Times New Roman" w:hAnsi="Nunito" w:cs="Times New Roman"/>
          <w:color w:val="2C2F34"/>
          <w:kern w:val="0"/>
          <w:sz w:val="24"/>
          <w:szCs w:val="24"/>
          <w:bdr w:val="none" w:sz="0" w:space="0" w:color="auto" w:frame="1"/>
          <w:lang w:eastAsia="es-UY"/>
          <w14:ligatures w14:val="none"/>
        </w:rPr>
        <w:t xml:space="preserve"> el lenguaje deja de dialogar con los sujetos concretos de hoy?</w:t>
      </w:r>
    </w:p>
    <w:p w14:paraId="050B7B3B"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642FE589"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El riesgo es evidente: la teología que comenzó como teología de la liberación podría convertirse en tradición… sin liberación.</w:t>
      </w:r>
    </w:p>
    <w:p w14:paraId="308D1D06"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1C859469"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Gustavo Gutiérrez insistió en que no existe verdadera teología sin práctica histórica. Y la práctica histórica no se repite, sino que se reinventa. Cuando esto no sucede, el discurso permanece, pero pierde su poder transformador. Se convierte en identidad de grupo, no en una fuerza de cambio.</w:t>
      </w:r>
    </w:p>
    <w:p w14:paraId="673493D8"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4B9B503E"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Mientras tanto, fuera de las estructuras establecidas, la realidad se desarrolla a un ritmo diferente. Los jóvenes de comunidades marginadas no se despolitizan, sino que se politizan de otra manera. Operan en redes, articulan sus causas con mayor fluidez, priorizan la acción directa y construyen un sentido de pertenencia por otros medios. Menos reuniones largas, movilización más rápida. Menos centralización, mayor circulación.</w:t>
      </w:r>
    </w:p>
    <w:p w14:paraId="38C972AC"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20623B09"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Y aquí surge una pregunta incómoda, pero inevitable: ¿Acaso los CEB pretenden seguir creando nuevos sujetos históricos o son simplemente continuadores de un modelo ya establecido?</w:t>
      </w:r>
    </w:p>
    <w:p w14:paraId="0E2AE6E0"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737F79F2"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Porque hay una diferencia. Y es una diferencia decisiva.</w:t>
      </w:r>
    </w:p>
    <w:p w14:paraId="3F236046"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7C762329"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Formar sucesores resulta más cómodo. Reduce los conflictos, preserva la identidad y mantiene el control. Pero también bloquea lo nuevo. Y sin lo nuevo, no hay liberación posible.</w:t>
      </w:r>
    </w:p>
    <w:p w14:paraId="3750A433"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5B2FCB9C"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Si desean seguir siendo una fuerza transformadora, las Comunidades Eclesiales de Base (CEB) tendrán que afrontar lo que siempre han exigido a las estructuras que criticaban: una conversión. No una conversión retórica, sino una conversión concreta, pastoral, generacional y simbólica. Esto implica ceder el control, aceptar los cambios y abrir un espacio real para un nuevo liderazgo, incluyendo a aquellos que no reproducen el discurso tradicional. Y esto no es un detalle organizativo. Es una decisión política y teológica.</w:t>
      </w:r>
    </w:p>
    <w:p w14:paraId="4F5D950E"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53A31948" w14:textId="77777777" w:rsid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bdr w:val="none" w:sz="0" w:space="0" w:color="auto" w:frame="1"/>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Porque, en definitiva, la cuestión es simple y dura. O bien las Comunidades Eclesiales de Base (CEB) vuelven a ser un proceso abierto, arriesgado e inacabado, o bien se consolidan como un recuerdo organizado de un tiempo que ya pasó.</w:t>
      </w:r>
    </w:p>
    <w:p w14:paraId="3825325E"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p>
    <w:p w14:paraId="330DB16E" w14:textId="77777777" w:rsidR="002022EB" w:rsidRPr="002022EB" w:rsidRDefault="002022EB" w:rsidP="002022EB">
      <w:pPr>
        <w:shd w:val="clear" w:color="auto" w:fill="FFFFFF"/>
        <w:spacing w:after="0" w:line="240" w:lineRule="auto"/>
        <w:jc w:val="both"/>
        <w:rPr>
          <w:rFonts w:ascii="Nunito" w:eastAsia="Times New Roman" w:hAnsi="Nunito" w:cs="Times New Roman"/>
          <w:color w:val="2C2F34"/>
          <w:kern w:val="0"/>
          <w:sz w:val="24"/>
          <w:szCs w:val="24"/>
          <w:lang w:eastAsia="es-UY"/>
          <w14:ligatures w14:val="none"/>
        </w:rPr>
      </w:pPr>
      <w:r w:rsidRPr="002022EB">
        <w:rPr>
          <w:rFonts w:ascii="Nunito" w:eastAsia="Times New Roman" w:hAnsi="Nunito" w:cs="Times New Roman"/>
          <w:color w:val="2C2F34"/>
          <w:kern w:val="0"/>
          <w:sz w:val="24"/>
          <w:szCs w:val="24"/>
          <w:bdr w:val="none" w:sz="0" w:space="0" w:color="auto" w:frame="1"/>
          <w:lang w:eastAsia="es-UY"/>
          <w14:ligatures w14:val="none"/>
        </w:rPr>
        <w:t>La fundación que en su día reinventó la Iglesia debe decidir ahora si tendrá el valor de reinventarse de nuevo. De lo contrario, corre el riesgo de convertirse precisamente en aquello que siempre ha denunciado: una estructura que habla en nombre del pueblo, pero que ya no camina con él.</w:t>
      </w:r>
    </w:p>
    <w:p w14:paraId="19AEB078" w14:textId="77777777" w:rsidR="002022EB" w:rsidRDefault="002022EB"/>
    <w:p w14:paraId="4FE9E41B" w14:textId="4D8323B6" w:rsidR="002022EB" w:rsidRDefault="002022EB">
      <w:hyperlink r:id="rId7" w:history="1">
        <w:r w:rsidRPr="00BF27E3">
          <w:rPr>
            <w:rStyle w:val="Hipervnculo"/>
          </w:rPr>
          <w:t>https://portaldascebs.org.br/cebs-guardias-da-memoria-ou-geradoras-de-futuro/</w:t>
        </w:r>
      </w:hyperlink>
    </w:p>
    <w:p w14:paraId="5F0C8E6E" w14:textId="77777777" w:rsidR="002022EB" w:rsidRDefault="002022EB"/>
    <w:sectPr w:rsidR="002022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1E1"/>
    <w:multiLevelType w:val="multilevel"/>
    <w:tmpl w:val="5058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58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EB"/>
    <w:rsid w:val="002022EB"/>
    <w:rsid w:val="0055639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67A2"/>
  <w15:chartTrackingRefBased/>
  <w15:docId w15:val="{AB178F3A-7171-4D29-8407-E5A7A882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2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2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22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22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22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22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22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22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22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22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22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22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22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22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22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22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22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22EB"/>
    <w:rPr>
      <w:rFonts w:eastAsiaTheme="majorEastAsia" w:cstheme="majorBidi"/>
      <w:color w:val="272727" w:themeColor="text1" w:themeTint="D8"/>
    </w:rPr>
  </w:style>
  <w:style w:type="paragraph" w:styleId="Ttulo">
    <w:name w:val="Title"/>
    <w:basedOn w:val="Normal"/>
    <w:next w:val="Normal"/>
    <w:link w:val="TtuloCar"/>
    <w:uiPriority w:val="10"/>
    <w:qFormat/>
    <w:rsid w:val="00202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22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22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22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22EB"/>
    <w:pPr>
      <w:spacing w:before="160"/>
      <w:jc w:val="center"/>
    </w:pPr>
    <w:rPr>
      <w:i/>
      <w:iCs/>
      <w:color w:val="404040" w:themeColor="text1" w:themeTint="BF"/>
    </w:rPr>
  </w:style>
  <w:style w:type="character" w:customStyle="1" w:styleId="CitaCar">
    <w:name w:val="Cita Car"/>
    <w:basedOn w:val="Fuentedeprrafopredeter"/>
    <w:link w:val="Cita"/>
    <w:uiPriority w:val="29"/>
    <w:rsid w:val="002022EB"/>
    <w:rPr>
      <w:i/>
      <w:iCs/>
      <w:color w:val="404040" w:themeColor="text1" w:themeTint="BF"/>
    </w:rPr>
  </w:style>
  <w:style w:type="paragraph" w:styleId="Prrafodelista">
    <w:name w:val="List Paragraph"/>
    <w:basedOn w:val="Normal"/>
    <w:uiPriority w:val="34"/>
    <w:qFormat/>
    <w:rsid w:val="002022EB"/>
    <w:pPr>
      <w:ind w:left="720"/>
      <w:contextualSpacing/>
    </w:pPr>
  </w:style>
  <w:style w:type="character" w:styleId="nfasisintenso">
    <w:name w:val="Intense Emphasis"/>
    <w:basedOn w:val="Fuentedeprrafopredeter"/>
    <w:uiPriority w:val="21"/>
    <w:qFormat/>
    <w:rsid w:val="002022EB"/>
    <w:rPr>
      <w:i/>
      <w:iCs/>
      <w:color w:val="0F4761" w:themeColor="accent1" w:themeShade="BF"/>
    </w:rPr>
  </w:style>
  <w:style w:type="paragraph" w:styleId="Citadestacada">
    <w:name w:val="Intense Quote"/>
    <w:basedOn w:val="Normal"/>
    <w:next w:val="Normal"/>
    <w:link w:val="CitadestacadaCar"/>
    <w:uiPriority w:val="30"/>
    <w:qFormat/>
    <w:rsid w:val="00202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22EB"/>
    <w:rPr>
      <w:i/>
      <w:iCs/>
      <w:color w:val="0F4761" w:themeColor="accent1" w:themeShade="BF"/>
    </w:rPr>
  </w:style>
  <w:style w:type="character" w:styleId="Referenciaintensa">
    <w:name w:val="Intense Reference"/>
    <w:basedOn w:val="Fuentedeprrafopredeter"/>
    <w:uiPriority w:val="32"/>
    <w:qFormat/>
    <w:rsid w:val="002022EB"/>
    <w:rPr>
      <w:b/>
      <w:bCs/>
      <w:smallCaps/>
      <w:color w:val="0F4761" w:themeColor="accent1" w:themeShade="BF"/>
      <w:spacing w:val="5"/>
    </w:rPr>
  </w:style>
  <w:style w:type="character" w:styleId="Hipervnculo">
    <w:name w:val="Hyperlink"/>
    <w:basedOn w:val="Fuentedeprrafopredeter"/>
    <w:uiPriority w:val="99"/>
    <w:unhideWhenUsed/>
    <w:rsid w:val="002022EB"/>
    <w:rPr>
      <w:color w:val="467886" w:themeColor="hyperlink"/>
      <w:u w:val="single"/>
    </w:rPr>
  </w:style>
  <w:style w:type="character" w:styleId="Mencinsinresolver">
    <w:name w:val="Unresolved Mention"/>
    <w:basedOn w:val="Fuentedeprrafopredeter"/>
    <w:uiPriority w:val="99"/>
    <w:semiHidden/>
    <w:unhideWhenUsed/>
    <w:rsid w:val="00202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dascebs.org.br/cebs-guardias-da-memoria-ou-geradoras-de-fut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dascebs.org.br/o-passado-das-cebs-explica-mas-nao-sustenta-o-presente/" TargetMode="External"/><Relationship Id="rId5" Type="http://schemas.openxmlformats.org/officeDocument/2006/relationships/hyperlink" Target="https://portaldascebs.org.br/autor-colunista/carlos-jard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5047</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2026-05-29T14:31:00Z</dcterms:created>
  <dcterms:modified xsi:type="dcterms:W3CDTF">2026-05-29T14:34:00Z</dcterms:modified>
</cp:coreProperties>
</file>