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3547" w14:textId="77777777" w:rsid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p>
    <w:p w14:paraId="53593271" w14:textId="23E174E0" w:rsid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r w:rsidRPr="00F71A41">
        <w:rPr>
          <w:rFonts w:ascii="Arial" w:eastAsia="Times New Roman" w:hAnsi="Arial" w:cs="Arial"/>
          <w:color w:val="333333"/>
          <w:kern w:val="0"/>
          <w:sz w:val="24"/>
          <w:szCs w:val="24"/>
          <w:lang w:eastAsia="es-UY"/>
          <w14:ligatures w14:val="none"/>
        </w:rPr>
        <w:drawing>
          <wp:inline distT="0" distB="0" distL="0" distR="0" wp14:anchorId="1B4D6807" wp14:editId="48245D30">
            <wp:extent cx="5527040" cy="1676400"/>
            <wp:effectExtent l="0" t="0" r="0" b="0"/>
            <wp:docPr id="14776658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65846" name=""/>
                    <pic:cNvPicPr/>
                  </pic:nvPicPr>
                  <pic:blipFill>
                    <a:blip r:embed="rId4"/>
                    <a:stretch>
                      <a:fillRect/>
                    </a:stretch>
                  </pic:blipFill>
                  <pic:spPr>
                    <a:xfrm>
                      <a:off x="0" y="0"/>
                      <a:ext cx="5535890" cy="1679084"/>
                    </a:xfrm>
                    <a:prstGeom prst="rect">
                      <a:avLst/>
                    </a:prstGeom>
                  </pic:spPr>
                </pic:pic>
              </a:graphicData>
            </a:graphic>
          </wp:inline>
        </w:drawing>
      </w:r>
    </w:p>
    <w:p w14:paraId="54670D4A" w14:textId="04307DDD" w:rsid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r w:rsidRPr="00F71A41">
        <w:rPr>
          <w:rFonts w:ascii="Arial" w:eastAsia="Times New Roman" w:hAnsi="Arial" w:cs="Arial"/>
          <w:color w:val="333333"/>
          <w:kern w:val="0"/>
          <w:sz w:val="24"/>
          <w:szCs w:val="24"/>
          <w:lang w:eastAsia="es-UY"/>
          <w14:ligatures w14:val="none"/>
        </w:rPr>
        <w:t>«La educación es fundamental, porque si no nos educamos como seres humanos libres, conscientes y responsables, la máquina pronto acabará educándonos como usuarios y manipulándonos como algoritmos, sin que nos demos cuenta», escribe </w:t>
      </w:r>
      <w:hyperlink r:id="rId5" w:tgtFrame="_blank" w:history="1">
        <w:r w:rsidRPr="00F71A41">
          <w:rPr>
            <w:rFonts w:ascii="Arial" w:eastAsia="Times New Roman" w:hAnsi="Arial" w:cs="Arial"/>
            <w:color w:val="FC6B01"/>
            <w:kern w:val="0"/>
            <w:sz w:val="24"/>
            <w:szCs w:val="24"/>
            <w:u w:val="single"/>
            <w:lang w:eastAsia="es-UY"/>
            <w14:ligatures w14:val="none"/>
          </w:rPr>
          <w:t>José Tolentino de Mendonça</w:t>
        </w:r>
      </w:hyperlink>
      <w:r w:rsidRPr="00F71A41">
        <w:rPr>
          <w:rFonts w:ascii="Arial" w:eastAsia="Times New Roman" w:hAnsi="Arial" w:cs="Arial"/>
          <w:color w:val="333333"/>
          <w:kern w:val="0"/>
          <w:sz w:val="24"/>
          <w:szCs w:val="24"/>
          <w:lang w:eastAsia="es-UY"/>
          <w14:ligatures w14:val="none"/>
        </w:rPr>
        <w:t> , poeta portugués y prefecto del </w:t>
      </w:r>
      <w:r w:rsidRPr="00F71A41">
        <w:rPr>
          <w:rFonts w:ascii="Arial" w:eastAsia="Times New Roman" w:hAnsi="Arial" w:cs="Arial"/>
          <w:b/>
          <w:bCs/>
          <w:color w:val="333333"/>
          <w:kern w:val="0"/>
          <w:sz w:val="24"/>
          <w:szCs w:val="24"/>
          <w:lang w:eastAsia="es-UY"/>
          <w14:ligatures w14:val="none"/>
        </w:rPr>
        <w:t>Dicasterio para la Cultura y la Educación</w:t>
      </w:r>
      <w:r w:rsidRPr="00F71A41">
        <w:rPr>
          <w:rFonts w:ascii="Arial" w:eastAsia="Times New Roman" w:hAnsi="Arial" w:cs="Arial"/>
          <w:color w:val="333333"/>
          <w:kern w:val="0"/>
          <w:sz w:val="24"/>
          <w:szCs w:val="24"/>
          <w:lang w:eastAsia="es-UY"/>
          <w14:ligatures w14:val="none"/>
        </w:rPr>
        <w:t> , en un artículo publicado por </w:t>
      </w:r>
      <w:hyperlink r:id="rId6" w:tgtFrame="_blank" w:history="1">
        <w:r w:rsidRPr="00F71A41">
          <w:rPr>
            <w:rFonts w:ascii="Arial" w:eastAsia="Times New Roman" w:hAnsi="Arial" w:cs="Arial"/>
            <w:color w:val="FC6B01"/>
            <w:kern w:val="0"/>
            <w:sz w:val="24"/>
            <w:szCs w:val="24"/>
            <w:u w:val="single"/>
            <w:lang w:eastAsia="es-UY"/>
            <w14:ligatures w14:val="none"/>
          </w:rPr>
          <w:t xml:space="preserve">La </w:t>
        </w:r>
        <w:proofErr w:type="spellStart"/>
        <w:r w:rsidRPr="00F71A41">
          <w:rPr>
            <w:rFonts w:ascii="Arial" w:eastAsia="Times New Roman" w:hAnsi="Arial" w:cs="Arial"/>
            <w:color w:val="FC6B01"/>
            <w:kern w:val="0"/>
            <w:sz w:val="24"/>
            <w:szCs w:val="24"/>
            <w:u w:val="single"/>
            <w:lang w:eastAsia="es-UY"/>
            <w14:ligatures w14:val="none"/>
          </w:rPr>
          <w:t>Stampa</w:t>
        </w:r>
        <w:proofErr w:type="spellEnd"/>
      </w:hyperlink>
      <w:r w:rsidRPr="00F71A41">
        <w:rPr>
          <w:rFonts w:ascii="Arial" w:eastAsia="Times New Roman" w:hAnsi="Arial" w:cs="Arial"/>
          <w:color w:val="333333"/>
          <w:kern w:val="0"/>
          <w:sz w:val="24"/>
          <w:szCs w:val="24"/>
          <w:lang w:eastAsia="es-UY"/>
          <w14:ligatures w14:val="none"/>
        </w:rPr>
        <w:t> el 26 de mayo de 2026.</w:t>
      </w:r>
    </w:p>
    <w:p w14:paraId="38A9D2E3" w14:textId="77777777" w:rsidR="00F71A41" w:rsidRP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p>
    <w:p w14:paraId="1075B3FE" w14:textId="77777777" w:rsidR="00F71A41" w:rsidRDefault="00F71A41" w:rsidP="00F71A41">
      <w:pPr>
        <w:spacing w:after="0" w:line="240" w:lineRule="auto"/>
        <w:jc w:val="both"/>
        <w:outlineLvl w:val="1"/>
        <w:rPr>
          <w:rFonts w:ascii="Arial" w:eastAsia="Times New Roman" w:hAnsi="Arial" w:cs="Arial"/>
          <w:b/>
          <w:bCs/>
          <w:color w:val="333333"/>
          <w:kern w:val="0"/>
          <w:sz w:val="24"/>
          <w:szCs w:val="24"/>
          <w:lang w:eastAsia="es-UY"/>
          <w14:ligatures w14:val="none"/>
        </w:rPr>
      </w:pPr>
      <w:r w:rsidRPr="00F71A41">
        <w:rPr>
          <w:rFonts w:ascii="Arial" w:eastAsia="Times New Roman" w:hAnsi="Arial" w:cs="Arial"/>
          <w:b/>
          <w:bCs/>
          <w:color w:val="333333"/>
          <w:kern w:val="0"/>
          <w:sz w:val="24"/>
          <w:szCs w:val="24"/>
          <w:lang w:eastAsia="es-UY"/>
          <w14:ligatures w14:val="none"/>
        </w:rPr>
        <w:t>Aquí está el artículo.</w:t>
      </w:r>
    </w:p>
    <w:p w14:paraId="778AB703" w14:textId="77777777" w:rsidR="00F71A41" w:rsidRPr="00F71A41" w:rsidRDefault="00F71A41" w:rsidP="00F71A41">
      <w:pPr>
        <w:spacing w:after="0" w:line="240" w:lineRule="auto"/>
        <w:jc w:val="both"/>
        <w:outlineLvl w:val="1"/>
        <w:rPr>
          <w:rFonts w:ascii="Arial" w:eastAsia="Times New Roman" w:hAnsi="Arial" w:cs="Arial"/>
          <w:b/>
          <w:bCs/>
          <w:color w:val="333333"/>
          <w:kern w:val="0"/>
          <w:sz w:val="24"/>
          <w:szCs w:val="24"/>
          <w:lang w:eastAsia="es-UY"/>
          <w14:ligatures w14:val="none"/>
        </w:rPr>
      </w:pPr>
    </w:p>
    <w:p w14:paraId="0E86BE2A" w14:textId="77777777" w:rsid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r w:rsidRPr="00F71A41">
        <w:rPr>
          <w:rFonts w:ascii="Arial" w:eastAsia="Times New Roman" w:hAnsi="Arial" w:cs="Arial"/>
          <w:i/>
          <w:iCs/>
          <w:color w:val="333333"/>
          <w:kern w:val="0"/>
          <w:sz w:val="24"/>
          <w:szCs w:val="24"/>
          <w:lang w:eastAsia="es-UY"/>
          <w14:ligatures w14:val="none"/>
        </w:rPr>
        <w:t xml:space="preserve">Nomen </w:t>
      </w:r>
      <w:proofErr w:type="spellStart"/>
      <w:r w:rsidRPr="00F71A41">
        <w:rPr>
          <w:rFonts w:ascii="Arial" w:eastAsia="Times New Roman" w:hAnsi="Arial" w:cs="Arial"/>
          <w:i/>
          <w:iCs/>
          <w:color w:val="333333"/>
          <w:kern w:val="0"/>
          <w:sz w:val="24"/>
          <w:szCs w:val="24"/>
          <w:lang w:eastAsia="es-UY"/>
          <w14:ligatures w14:val="none"/>
        </w:rPr>
        <w:t>omen</w:t>
      </w:r>
      <w:proofErr w:type="spellEnd"/>
      <w:r w:rsidRPr="00F71A41">
        <w:rPr>
          <w:rFonts w:ascii="Arial" w:eastAsia="Times New Roman" w:hAnsi="Arial" w:cs="Arial"/>
          <w:color w:val="333333"/>
          <w:kern w:val="0"/>
          <w:sz w:val="24"/>
          <w:szCs w:val="24"/>
          <w:lang w:eastAsia="es-UY"/>
          <w14:ligatures w14:val="none"/>
        </w:rPr>
        <w:t> , un nombre es un presagio, una especie de señal de tráfico o una misión anunciada. Si esto es cierto para los nombres en general, lo es aún más para el nombre que elige un Papa, especialmente porque lo hace con la máxima libertad. El inesperado nombre elegido por el Papa </w:t>
      </w:r>
      <w:r w:rsidRPr="00F71A41">
        <w:rPr>
          <w:rFonts w:ascii="Arial" w:eastAsia="Times New Roman" w:hAnsi="Arial" w:cs="Arial"/>
          <w:b/>
          <w:bCs/>
          <w:color w:val="333333"/>
          <w:kern w:val="0"/>
          <w:sz w:val="24"/>
          <w:szCs w:val="24"/>
          <w:lang w:eastAsia="es-UY"/>
          <w14:ligatures w14:val="none"/>
        </w:rPr>
        <w:t>Prevost,</w:t>
      </w:r>
      <w:r w:rsidRPr="00F71A41">
        <w:rPr>
          <w:rFonts w:ascii="Arial" w:eastAsia="Times New Roman" w:hAnsi="Arial" w:cs="Arial"/>
          <w:color w:val="333333"/>
          <w:kern w:val="0"/>
          <w:sz w:val="24"/>
          <w:szCs w:val="24"/>
          <w:lang w:eastAsia="es-UY"/>
          <w14:ligatures w14:val="none"/>
        </w:rPr>
        <w:t> por lo tanto, despertó gran curiosidad, que ahora encuentra una poderosa respuesta en su primera encíclica, </w:t>
      </w:r>
      <w:hyperlink r:id="rId7" w:tgtFrame="_blank" w:history="1">
        <w:r w:rsidRPr="00F71A41">
          <w:rPr>
            <w:rFonts w:ascii="Arial" w:eastAsia="Times New Roman" w:hAnsi="Arial" w:cs="Arial"/>
            <w:i/>
            <w:iCs/>
            <w:color w:val="FC6B01"/>
            <w:kern w:val="0"/>
            <w:sz w:val="24"/>
            <w:szCs w:val="24"/>
            <w:u w:val="single"/>
            <w:lang w:eastAsia="es-UY"/>
            <w14:ligatures w14:val="none"/>
          </w:rPr>
          <w:t xml:space="preserve">Magnifica </w:t>
        </w:r>
        <w:proofErr w:type="spellStart"/>
        <w:r w:rsidRPr="00F71A41">
          <w:rPr>
            <w:rFonts w:ascii="Arial" w:eastAsia="Times New Roman" w:hAnsi="Arial" w:cs="Arial"/>
            <w:i/>
            <w:iCs/>
            <w:color w:val="FC6B01"/>
            <w:kern w:val="0"/>
            <w:sz w:val="24"/>
            <w:szCs w:val="24"/>
            <w:u w:val="single"/>
            <w:lang w:eastAsia="es-UY"/>
            <w14:ligatures w14:val="none"/>
          </w:rPr>
          <w:t>Humanitas</w:t>
        </w:r>
        <w:proofErr w:type="spellEnd"/>
      </w:hyperlink>
      <w:r w:rsidRPr="00F71A41">
        <w:rPr>
          <w:rFonts w:ascii="Arial" w:eastAsia="Times New Roman" w:hAnsi="Arial" w:cs="Arial"/>
          <w:i/>
          <w:iCs/>
          <w:color w:val="333333"/>
          <w:kern w:val="0"/>
          <w:sz w:val="24"/>
          <w:szCs w:val="24"/>
          <w:lang w:eastAsia="es-UY"/>
          <w14:ligatures w14:val="none"/>
        </w:rPr>
        <w:t> ,</w:t>
      </w:r>
      <w:r w:rsidRPr="00F71A41">
        <w:rPr>
          <w:rFonts w:ascii="Arial" w:eastAsia="Times New Roman" w:hAnsi="Arial" w:cs="Arial"/>
          <w:color w:val="333333"/>
          <w:kern w:val="0"/>
          <w:sz w:val="24"/>
          <w:szCs w:val="24"/>
          <w:lang w:eastAsia="es-UY"/>
          <w14:ligatures w14:val="none"/>
        </w:rPr>
        <w:t> presentada en el mes en que se celebra el 135 aniversario de la encíclica </w:t>
      </w:r>
      <w:proofErr w:type="spellStart"/>
      <w:r w:rsidRPr="00F71A41">
        <w:rPr>
          <w:rFonts w:ascii="Arial" w:eastAsia="Times New Roman" w:hAnsi="Arial" w:cs="Arial"/>
          <w:color w:val="333333"/>
          <w:kern w:val="0"/>
          <w:sz w:val="24"/>
          <w:szCs w:val="24"/>
          <w:lang w:eastAsia="es-UY"/>
          <w14:ligatures w14:val="none"/>
        </w:rPr>
        <w:fldChar w:fldCharType="begin"/>
      </w:r>
      <w:r w:rsidRPr="00F71A41">
        <w:rPr>
          <w:rFonts w:ascii="Arial" w:eastAsia="Times New Roman" w:hAnsi="Arial" w:cs="Arial"/>
          <w:color w:val="333333"/>
          <w:kern w:val="0"/>
          <w:sz w:val="24"/>
          <w:szCs w:val="24"/>
          <w:lang w:eastAsia="es-UY"/>
          <w14:ligatures w14:val="none"/>
        </w:rPr>
        <w:instrText>HYPERLINK "https://www.ihu.unisinos.br/666146-rerum-novarum-135-anos-de-um-marco-no-pensamento-e-na-acao-social-da-igreja-artigo-de-eliseu-wisniewski" \t "_blank"</w:instrText>
      </w:r>
      <w:r w:rsidRPr="00F71A41">
        <w:rPr>
          <w:rFonts w:ascii="Arial" w:eastAsia="Times New Roman" w:hAnsi="Arial" w:cs="Arial"/>
          <w:color w:val="333333"/>
          <w:kern w:val="0"/>
          <w:sz w:val="24"/>
          <w:szCs w:val="24"/>
          <w:lang w:eastAsia="es-UY"/>
          <w14:ligatures w14:val="none"/>
        </w:rPr>
      </w:r>
      <w:r w:rsidRPr="00F71A41">
        <w:rPr>
          <w:rFonts w:ascii="Arial" w:eastAsia="Times New Roman" w:hAnsi="Arial" w:cs="Arial"/>
          <w:color w:val="333333"/>
          <w:kern w:val="0"/>
          <w:sz w:val="24"/>
          <w:szCs w:val="24"/>
          <w:lang w:eastAsia="es-UY"/>
          <w14:ligatures w14:val="none"/>
        </w:rPr>
        <w:fldChar w:fldCharType="separate"/>
      </w:r>
      <w:r w:rsidRPr="00F71A41">
        <w:rPr>
          <w:rFonts w:ascii="Arial" w:eastAsia="Times New Roman" w:hAnsi="Arial" w:cs="Arial"/>
          <w:i/>
          <w:iCs/>
          <w:color w:val="FC6B01"/>
          <w:kern w:val="0"/>
          <w:sz w:val="24"/>
          <w:szCs w:val="24"/>
          <w:u w:val="single"/>
          <w:lang w:eastAsia="es-UY"/>
          <w14:ligatures w14:val="none"/>
        </w:rPr>
        <w:t>Rerum</w:t>
      </w:r>
      <w:proofErr w:type="spellEnd"/>
      <w:r w:rsidRPr="00F71A41">
        <w:rPr>
          <w:rFonts w:ascii="Arial" w:eastAsia="Times New Roman" w:hAnsi="Arial" w:cs="Arial"/>
          <w:i/>
          <w:iCs/>
          <w:color w:val="FC6B01"/>
          <w:kern w:val="0"/>
          <w:sz w:val="24"/>
          <w:szCs w:val="24"/>
          <w:u w:val="single"/>
          <w:lang w:eastAsia="es-UY"/>
          <w14:ligatures w14:val="none"/>
        </w:rPr>
        <w:t xml:space="preserve"> </w:t>
      </w:r>
      <w:proofErr w:type="spellStart"/>
      <w:r w:rsidRPr="00F71A41">
        <w:rPr>
          <w:rFonts w:ascii="Arial" w:eastAsia="Times New Roman" w:hAnsi="Arial" w:cs="Arial"/>
          <w:i/>
          <w:iCs/>
          <w:color w:val="FC6B01"/>
          <w:kern w:val="0"/>
          <w:sz w:val="24"/>
          <w:szCs w:val="24"/>
          <w:u w:val="single"/>
          <w:lang w:eastAsia="es-UY"/>
          <w14:ligatures w14:val="none"/>
        </w:rPr>
        <w:t>Novarum</w:t>
      </w:r>
      <w:proofErr w:type="spellEnd"/>
      <w:r w:rsidRPr="00F71A41">
        <w:rPr>
          <w:rFonts w:ascii="Arial" w:eastAsia="Times New Roman" w:hAnsi="Arial" w:cs="Arial"/>
          <w:color w:val="333333"/>
          <w:kern w:val="0"/>
          <w:sz w:val="24"/>
          <w:szCs w:val="24"/>
          <w:lang w:eastAsia="es-UY"/>
          <w14:ligatures w14:val="none"/>
        </w:rPr>
        <w:fldChar w:fldCharType="end"/>
      </w:r>
      <w:r w:rsidRPr="00F71A41">
        <w:rPr>
          <w:rFonts w:ascii="Arial" w:eastAsia="Times New Roman" w:hAnsi="Arial" w:cs="Arial"/>
          <w:i/>
          <w:iCs/>
          <w:color w:val="333333"/>
          <w:kern w:val="0"/>
          <w:sz w:val="24"/>
          <w:szCs w:val="24"/>
          <w:lang w:eastAsia="es-UY"/>
          <w14:ligatures w14:val="none"/>
        </w:rPr>
        <w:t> .</w:t>
      </w:r>
      <w:r w:rsidRPr="00F71A41">
        <w:rPr>
          <w:rFonts w:ascii="Arial" w:eastAsia="Times New Roman" w:hAnsi="Arial" w:cs="Arial"/>
          <w:color w:val="333333"/>
          <w:kern w:val="0"/>
          <w:sz w:val="24"/>
          <w:szCs w:val="24"/>
          <w:lang w:eastAsia="es-UY"/>
          <w14:ligatures w14:val="none"/>
        </w:rPr>
        <w:t> Si, con su valiente postura sobre la cuestión laboral, </w:t>
      </w:r>
      <w:hyperlink r:id="rId8" w:tgtFrame="_blank" w:history="1">
        <w:r w:rsidRPr="00F71A41">
          <w:rPr>
            <w:rFonts w:ascii="Arial" w:eastAsia="Times New Roman" w:hAnsi="Arial" w:cs="Arial"/>
            <w:color w:val="FC6B01"/>
            <w:kern w:val="0"/>
            <w:sz w:val="24"/>
            <w:szCs w:val="24"/>
            <w:u w:val="single"/>
            <w:lang w:eastAsia="es-UY"/>
            <w14:ligatures w14:val="none"/>
          </w:rPr>
          <w:t>el Papa León XIII</w:t>
        </w:r>
      </w:hyperlink>
      <w:r w:rsidRPr="00F71A41">
        <w:rPr>
          <w:rFonts w:ascii="Arial" w:eastAsia="Times New Roman" w:hAnsi="Arial" w:cs="Arial"/>
          <w:color w:val="333333"/>
          <w:kern w:val="0"/>
          <w:sz w:val="24"/>
          <w:szCs w:val="24"/>
          <w:lang w:eastAsia="es-UY"/>
          <w14:ligatures w14:val="none"/>
        </w:rPr>
        <w:t> abrió la modernidad «a esa reflexión sobre la sociedad, la economía y la política que ahora llamamos la “ </w:t>
      </w:r>
      <w:hyperlink r:id="rId9" w:tgtFrame="_blank" w:history="1">
        <w:r w:rsidRPr="00F71A41">
          <w:rPr>
            <w:rFonts w:ascii="Arial" w:eastAsia="Times New Roman" w:hAnsi="Arial" w:cs="Arial"/>
            <w:color w:val="FC6B01"/>
            <w:kern w:val="0"/>
            <w:sz w:val="24"/>
            <w:szCs w:val="24"/>
            <w:u w:val="single"/>
            <w:lang w:eastAsia="es-UY"/>
            <w14:ligatures w14:val="none"/>
          </w:rPr>
          <w:t>Doctrina Social de la Iglesia</w:t>
        </w:r>
      </w:hyperlink>
      <w:r w:rsidRPr="00F71A41">
        <w:rPr>
          <w:rFonts w:ascii="Arial" w:eastAsia="Times New Roman" w:hAnsi="Arial" w:cs="Arial"/>
          <w:color w:val="333333"/>
          <w:kern w:val="0"/>
          <w:sz w:val="24"/>
          <w:szCs w:val="24"/>
          <w:lang w:eastAsia="es-UY"/>
          <w14:ligatures w14:val="none"/>
        </w:rPr>
        <w:t> ”» (MH, 3), el Papa </w:t>
      </w:r>
      <w:r w:rsidRPr="00F71A41">
        <w:rPr>
          <w:rFonts w:ascii="Arial" w:eastAsia="Times New Roman" w:hAnsi="Arial" w:cs="Arial"/>
          <w:b/>
          <w:bCs/>
          <w:color w:val="333333"/>
          <w:kern w:val="0"/>
          <w:sz w:val="24"/>
          <w:szCs w:val="24"/>
          <w:lang w:eastAsia="es-UY"/>
          <w14:ligatures w14:val="none"/>
        </w:rPr>
        <w:t>León XIV</w:t>
      </w:r>
      <w:r w:rsidRPr="00F71A41">
        <w:rPr>
          <w:rFonts w:ascii="Arial" w:eastAsia="Times New Roman" w:hAnsi="Arial" w:cs="Arial"/>
          <w:color w:val="333333"/>
          <w:kern w:val="0"/>
          <w:sz w:val="24"/>
          <w:szCs w:val="24"/>
          <w:lang w:eastAsia="es-UY"/>
          <w14:ligatures w14:val="none"/>
        </w:rPr>
        <w:t> hoy quiere que no se pierda esa audacia de visión de la realidad concreta, pues cree que es parte integral de la vocación de la Iglesia.</w:t>
      </w:r>
    </w:p>
    <w:p w14:paraId="3873EEA3" w14:textId="77777777" w:rsidR="00F71A41" w:rsidRP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p>
    <w:p w14:paraId="623A0F26" w14:textId="77777777" w:rsid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r w:rsidRPr="00F71A41">
        <w:rPr>
          <w:rFonts w:ascii="Arial" w:eastAsia="Times New Roman" w:hAnsi="Arial" w:cs="Arial"/>
          <w:color w:val="333333"/>
          <w:kern w:val="0"/>
          <w:sz w:val="24"/>
          <w:szCs w:val="24"/>
          <w:lang w:eastAsia="es-UY"/>
          <w14:ligatures w14:val="none"/>
        </w:rPr>
        <w:t>Esta es la profunda convicción que guía el programa pastoral de su pontificado y que encuentra en su nombre una clave clara para su comprensión. </w:t>
      </w:r>
      <w:r w:rsidRPr="00F71A41">
        <w:rPr>
          <w:rFonts w:ascii="Arial" w:eastAsia="Times New Roman" w:hAnsi="Arial" w:cs="Arial"/>
          <w:b/>
          <w:bCs/>
          <w:color w:val="333333"/>
          <w:kern w:val="0"/>
          <w:sz w:val="24"/>
          <w:szCs w:val="24"/>
          <w:lang w:eastAsia="es-UY"/>
          <w14:ligatures w14:val="none"/>
        </w:rPr>
        <w:t>León XIII</w:t>
      </w:r>
      <w:r w:rsidRPr="00F71A41">
        <w:rPr>
          <w:rFonts w:ascii="Arial" w:eastAsia="Times New Roman" w:hAnsi="Arial" w:cs="Arial"/>
          <w:color w:val="333333"/>
          <w:kern w:val="0"/>
          <w:sz w:val="24"/>
          <w:szCs w:val="24"/>
          <w:lang w:eastAsia="es-UY"/>
          <w14:ligatures w14:val="none"/>
        </w:rPr>
        <w:t> no teme la magnitud de la tarea de interpretar los problemas de nuestro tiempo, fijando abiertamente su mirada en un escenario ambiguamente cargado de esperanzas y temores. Tampoco teme parecer proféticamente contrario a la corriente principal, con un discurso que algunos sectores interesados ​​calificarán de «sombrío o pesimista». </w:t>
      </w:r>
    </w:p>
    <w:p w14:paraId="7A7E03A9" w14:textId="77777777" w:rsidR="00F71A41" w:rsidRP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p>
    <w:p w14:paraId="6863FFFE" w14:textId="77777777" w:rsid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r w:rsidRPr="00F71A41">
        <w:rPr>
          <w:rFonts w:ascii="Arial" w:eastAsia="Times New Roman" w:hAnsi="Arial" w:cs="Arial"/>
          <w:color w:val="333333"/>
          <w:kern w:val="0"/>
          <w:sz w:val="24"/>
          <w:szCs w:val="24"/>
          <w:lang w:eastAsia="es-UY"/>
          <w14:ligatures w14:val="none"/>
        </w:rPr>
        <w:t xml:space="preserve">En realidad, interpreta el presente no “como un destino cerrado, sino como un campo abierto a la conversión personal y colectiva” (MH, 210). Es esta combinación profética de valentía espiritual e inteligencia histórica la que, cabe decir, convierte a esta encíclica en uno de los textos más importantes del siglo XXI, un manifiesto humanista que se centra en la cuestión crucial sobre la que hoy estamos llamados a decidir el futuro mismo de la humanidad: “¿qué significa salvaguardar a la persona humana en la era de la inteligencia artificial?”. En medio de la pasividad generalizada de una opinión pública desinformada e indiferente y el atraso de gobiernos con dificultades de discernimiento, la voz de la Iglesia se alza, a través de la encíclica, al servicio de toda la humanidad, un </w:t>
      </w:r>
      <w:r w:rsidRPr="00F71A41">
        <w:rPr>
          <w:rFonts w:ascii="Arial" w:eastAsia="Times New Roman" w:hAnsi="Arial" w:cs="Arial"/>
          <w:color w:val="333333"/>
          <w:kern w:val="0"/>
          <w:sz w:val="24"/>
          <w:szCs w:val="24"/>
          <w:lang w:eastAsia="es-UY"/>
          <w14:ligatures w14:val="none"/>
        </w:rPr>
        <w:lastRenderedPageBreak/>
        <w:t>testimonio desarmado y conmovedor, pero poderoso, del deber de no subordinar al ser humano al poder de la máquina: el deber irrevocable de </w:t>
      </w:r>
      <w:hyperlink r:id="rId10" w:tgtFrame="_blank" w:history="1">
        <w:r w:rsidRPr="00F71A41">
          <w:rPr>
            <w:rFonts w:ascii="Arial" w:eastAsia="Times New Roman" w:hAnsi="Arial" w:cs="Arial"/>
            <w:color w:val="FC6B01"/>
            <w:kern w:val="0"/>
            <w:sz w:val="24"/>
            <w:szCs w:val="24"/>
            <w:u w:val="single"/>
            <w:lang w:eastAsia="es-UY"/>
            <w14:ligatures w14:val="none"/>
          </w:rPr>
          <w:t>seguir siendo humano</w:t>
        </w:r>
      </w:hyperlink>
      <w:r w:rsidRPr="00F71A41">
        <w:rPr>
          <w:rFonts w:ascii="Arial" w:eastAsia="Times New Roman" w:hAnsi="Arial" w:cs="Arial"/>
          <w:color w:val="333333"/>
          <w:kern w:val="0"/>
          <w:sz w:val="24"/>
          <w:szCs w:val="24"/>
          <w:lang w:eastAsia="es-UY"/>
          <w14:ligatures w14:val="none"/>
        </w:rPr>
        <w:t> .</w:t>
      </w:r>
    </w:p>
    <w:p w14:paraId="1BB15416" w14:textId="77777777" w:rsidR="00F71A41" w:rsidRP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p>
    <w:p w14:paraId="5F608F49" w14:textId="77777777" w:rsidR="00F71A41" w:rsidRP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r w:rsidRPr="00F71A41">
        <w:rPr>
          <w:rFonts w:ascii="Arial" w:eastAsia="Times New Roman" w:hAnsi="Arial" w:cs="Arial"/>
          <w:color w:val="333333"/>
          <w:kern w:val="0"/>
          <w:sz w:val="24"/>
          <w:szCs w:val="24"/>
          <w:lang w:eastAsia="es-UY"/>
          <w14:ligatures w14:val="none"/>
        </w:rPr>
        <w:t>El peligro reside en que las ventajas económicas del formidable progreso tecnológico en marcha pueden cegarnos ante los riesgos de su avance descontrolado: no podemos ignorar, advierte el Papa, que en esta cuarta revolución industrial que vivimos con la </w:t>
      </w:r>
      <w:r w:rsidRPr="00F71A41">
        <w:rPr>
          <w:rFonts w:ascii="Arial" w:eastAsia="Times New Roman" w:hAnsi="Arial" w:cs="Arial"/>
          <w:b/>
          <w:bCs/>
          <w:color w:val="333333"/>
          <w:kern w:val="0"/>
          <w:sz w:val="24"/>
          <w:szCs w:val="24"/>
          <w:lang w:eastAsia="es-UY"/>
          <w14:ligatures w14:val="none"/>
        </w:rPr>
        <w:t>transición digital</w:t>
      </w:r>
      <w:r w:rsidRPr="00F71A41">
        <w:rPr>
          <w:rFonts w:ascii="Arial" w:eastAsia="Times New Roman" w:hAnsi="Arial" w:cs="Arial"/>
          <w:color w:val="333333"/>
          <w:kern w:val="0"/>
          <w:sz w:val="24"/>
          <w:szCs w:val="24"/>
          <w:lang w:eastAsia="es-UY"/>
          <w14:ligatures w14:val="none"/>
        </w:rPr>
        <w:t> , </w:t>
      </w:r>
      <w:r w:rsidRPr="00F71A41">
        <w:rPr>
          <w:rFonts w:ascii="Arial" w:eastAsia="Times New Roman" w:hAnsi="Arial" w:cs="Arial"/>
          <w:b/>
          <w:bCs/>
          <w:color w:val="333333"/>
          <w:kern w:val="0"/>
          <w:sz w:val="24"/>
          <w:szCs w:val="24"/>
          <w:lang w:eastAsia="es-UY"/>
          <w14:ligatures w14:val="none"/>
        </w:rPr>
        <w:t>la dignidad humana</w:t>
      </w:r>
      <w:r w:rsidRPr="00F71A41">
        <w:rPr>
          <w:rFonts w:ascii="Arial" w:eastAsia="Times New Roman" w:hAnsi="Arial" w:cs="Arial"/>
          <w:color w:val="333333"/>
          <w:kern w:val="0"/>
          <w:sz w:val="24"/>
          <w:szCs w:val="24"/>
          <w:lang w:eastAsia="es-UY"/>
          <w14:ligatures w14:val="none"/>
        </w:rPr>
        <w:t> se ve expuesta a una amenaza radical. El potencial de este nuevo instrumento es grande, pero los peligros son igualmente significativos. Por lo tanto, desde la primera frase de la encíclica, se afirma que nos enfrentamos a «una elección decisiva» (y la palabra «elección» aparece once veces en el texto).</w:t>
      </w:r>
    </w:p>
    <w:p w14:paraId="1665BF76" w14:textId="77777777" w:rsidR="00F71A41" w:rsidRP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r w:rsidRPr="00F71A41">
        <w:rPr>
          <w:rFonts w:ascii="Arial" w:eastAsia="Times New Roman" w:hAnsi="Arial" w:cs="Arial"/>
          <w:color w:val="333333"/>
          <w:kern w:val="0"/>
          <w:sz w:val="24"/>
          <w:szCs w:val="24"/>
          <w:lang w:eastAsia="es-UY"/>
          <w14:ligatures w14:val="none"/>
        </w:rPr>
        <w:t>Elija entre el sistema meritocrático (que el Papa considera una ideología particularmente insidiosa porque sustituye la ontología por la eficiencia del rendimiento) y el reconocimiento de la dignidad inalienable de la persona humana; elija entre la concentración de poder y riqueza en manos de unos pocos (empresas y plataformas tecnológicas...) y el destino universal de los bienes; elija entre el doble error de demonizar o idolatrar los instrumentos, por un lado, y la estrategia pública de gobernarlos con criterios transparentes y democráticos, por otro; elija entre la aceleración del paradigma tecnocrático puro y el compromiso con el </w:t>
      </w:r>
      <w:hyperlink r:id="rId11" w:tgtFrame="_blank" w:history="1">
        <w:r w:rsidRPr="00F71A41">
          <w:rPr>
            <w:rFonts w:ascii="Arial" w:eastAsia="Times New Roman" w:hAnsi="Arial" w:cs="Arial"/>
            <w:color w:val="FC6B01"/>
            <w:kern w:val="0"/>
            <w:sz w:val="24"/>
            <w:szCs w:val="24"/>
            <w:u w:val="single"/>
            <w:lang w:eastAsia="es-UY"/>
            <w14:ligatures w14:val="none"/>
          </w:rPr>
          <w:t>desarrollo humano integral</w:t>
        </w:r>
      </w:hyperlink>
      <w:r w:rsidRPr="00F71A41">
        <w:rPr>
          <w:rFonts w:ascii="Arial" w:eastAsia="Times New Roman" w:hAnsi="Arial" w:cs="Arial"/>
          <w:color w:val="333333"/>
          <w:kern w:val="0"/>
          <w:sz w:val="24"/>
          <w:szCs w:val="24"/>
          <w:lang w:eastAsia="es-UY"/>
          <w14:ligatures w14:val="none"/>
        </w:rPr>
        <w:t> . Simplemente dotar a la tecnología de un poder mesiánico (la encíclica habla del riesgo de la " </w:t>
      </w:r>
      <w:r w:rsidRPr="00F71A41">
        <w:rPr>
          <w:rFonts w:ascii="Arial" w:eastAsia="Times New Roman" w:hAnsi="Arial" w:cs="Arial"/>
          <w:b/>
          <w:bCs/>
          <w:color w:val="333333"/>
          <w:kern w:val="0"/>
          <w:sz w:val="24"/>
          <w:szCs w:val="24"/>
          <w:lang w:eastAsia="es-UY"/>
          <w14:ligatures w14:val="none"/>
        </w:rPr>
        <w:t>divinización</w:t>
      </w:r>
      <w:r w:rsidRPr="00F71A41">
        <w:rPr>
          <w:rFonts w:ascii="Arial" w:eastAsia="Times New Roman" w:hAnsi="Arial" w:cs="Arial"/>
          <w:color w:val="333333"/>
          <w:kern w:val="0"/>
          <w:sz w:val="24"/>
          <w:szCs w:val="24"/>
          <w:lang w:eastAsia="es-UY"/>
          <w14:ligatures w14:val="none"/>
        </w:rPr>
        <w:t> ") significa pretender subrepticiamente que puede reemplazar o trascender al ser humano.</w:t>
      </w:r>
    </w:p>
    <w:p w14:paraId="586EC079" w14:textId="77777777" w:rsid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r w:rsidRPr="00F71A41">
        <w:rPr>
          <w:rFonts w:ascii="Arial" w:eastAsia="Times New Roman" w:hAnsi="Arial" w:cs="Arial"/>
          <w:color w:val="333333"/>
          <w:kern w:val="0"/>
          <w:sz w:val="24"/>
          <w:szCs w:val="24"/>
          <w:lang w:eastAsia="es-UY"/>
          <w14:ligatures w14:val="none"/>
        </w:rPr>
        <w:t>La tecnología no es neutral, ya que asume la posición ideológica y los intereses de quienes la conciben, financian, poseen, regulan o utilizan. Por lo tanto, «no basta con invocar la ética de forma genérica: se requieren marcos legales adecuados, supervisión independiente, formación de usuarios y una política que no renuncie a su misión» (MH, 106). Queda claro, pues, que el enfoque metodológico de </w:t>
      </w:r>
      <w:r w:rsidRPr="00F71A41">
        <w:rPr>
          <w:rFonts w:ascii="Arial" w:eastAsia="Times New Roman" w:hAnsi="Arial" w:cs="Arial"/>
          <w:b/>
          <w:bCs/>
          <w:i/>
          <w:iCs/>
          <w:color w:val="333333"/>
          <w:kern w:val="0"/>
          <w:sz w:val="24"/>
          <w:szCs w:val="24"/>
          <w:lang w:eastAsia="es-UY"/>
          <w14:ligatures w14:val="none"/>
        </w:rPr>
        <w:t xml:space="preserve">Magnifica </w:t>
      </w:r>
      <w:proofErr w:type="spellStart"/>
      <w:r w:rsidRPr="00F71A41">
        <w:rPr>
          <w:rFonts w:ascii="Arial" w:eastAsia="Times New Roman" w:hAnsi="Arial" w:cs="Arial"/>
          <w:b/>
          <w:bCs/>
          <w:i/>
          <w:iCs/>
          <w:color w:val="333333"/>
          <w:kern w:val="0"/>
          <w:sz w:val="24"/>
          <w:szCs w:val="24"/>
          <w:lang w:eastAsia="es-UY"/>
          <w14:ligatures w14:val="none"/>
        </w:rPr>
        <w:t>Humanitas</w:t>
      </w:r>
      <w:proofErr w:type="spellEnd"/>
      <w:r w:rsidRPr="00F71A41">
        <w:rPr>
          <w:rFonts w:ascii="Arial" w:eastAsia="Times New Roman" w:hAnsi="Arial" w:cs="Arial"/>
          <w:color w:val="333333"/>
          <w:kern w:val="0"/>
          <w:sz w:val="24"/>
          <w:szCs w:val="24"/>
          <w:lang w:eastAsia="es-UY"/>
          <w14:ligatures w14:val="none"/>
        </w:rPr>
        <w:t> consiste en promover la reflexión de carácter cultural, analizando, por ejemplo, algunos de los mecanismos teóricos que sirven de estandarte a los centros de poder tecnológico y que colonizan los imaginarios expresados ​​en las redes sociales y los medios de comunicación.</w:t>
      </w:r>
    </w:p>
    <w:p w14:paraId="26ADF142" w14:textId="77777777" w:rsidR="00F71A41" w:rsidRP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p>
    <w:p w14:paraId="2BDABB0C" w14:textId="77777777" w:rsid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r w:rsidRPr="00F71A41">
        <w:rPr>
          <w:rFonts w:ascii="Arial" w:eastAsia="Times New Roman" w:hAnsi="Arial" w:cs="Arial"/>
          <w:color w:val="333333"/>
          <w:kern w:val="0"/>
          <w:sz w:val="24"/>
          <w:szCs w:val="24"/>
          <w:lang w:eastAsia="es-UY"/>
          <w14:ligatures w14:val="none"/>
        </w:rPr>
        <w:t>El mensaje que transmite esta ideología tecnológica es una alucinación del futuro, en la que se promueven cada vez más las ventajas del mejoramiento mecánico indiscriminado de los seres humanos y su hibridación con la automatización, y se construye una falsa idea de progreso como la superación de lo humano. Se trata de un insidioso caldo de cultivo ideológico que encuentra creciente expresión en las diversas corrientes del </w:t>
      </w:r>
      <w:hyperlink r:id="rId12" w:tgtFrame="_blank" w:history="1">
        <w:r w:rsidRPr="00F71A41">
          <w:rPr>
            <w:rFonts w:ascii="Arial" w:eastAsia="Times New Roman" w:hAnsi="Arial" w:cs="Arial"/>
            <w:color w:val="FC6B01"/>
            <w:kern w:val="0"/>
            <w:sz w:val="24"/>
            <w:szCs w:val="24"/>
            <w:u w:val="single"/>
            <w:lang w:eastAsia="es-UY"/>
            <w14:ligatures w14:val="none"/>
          </w:rPr>
          <w:t>transhumanismo</w:t>
        </w:r>
      </w:hyperlink>
      <w:r w:rsidRPr="00F71A41">
        <w:rPr>
          <w:rFonts w:ascii="Arial" w:eastAsia="Times New Roman" w:hAnsi="Arial" w:cs="Arial"/>
          <w:color w:val="333333"/>
          <w:kern w:val="0"/>
          <w:sz w:val="24"/>
          <w:szCs w:val="24"/>
          <w:lang w:eastAsia="es-UY"/>
          <w14:ligatures w14:val="none"/>
        </w:rPr>
        <w:t> y </w:t>
      </w:r>
      <w:hyperlink r:id="rId13" w:tgtFrame="_blank" w:history="1">
        <w:r w:rsidRPr="00F71A41">
          <w:rPr>
            <w:rFonts w:ascii="Arial" w:eastAsia="Times New Roman" w:hAnsi="Arial" w:cs="Arial"/>
            <w:color w:val="FC6B01"/>
            <w:kern w:val="0"/>
            <w:sz w:val="24"/>
            <w:szCs w:val="24"/>
            <w:u w:val="single"/>
            <w:lang w:eastAsia="es-UY"/>
            <w14:ligatures w14:val="none"/>
          </w:rPr>
          <w:t xml:space="preserve">el </w:t>
        </w:r>
        <w:proofErr w:type="spellStart"/>
        <w:r w:rsidRPr="00F71A41">
          <w:rPr>
            <w:rFonts w:ascii="Arial" w:eastAsia="Times New Roman" w:hAnsi="Arial" w:cs="Arial"/>
            <w:color w:val="FC6B01"/>
            <w:kern w:val="0"/>
            <w:sz w:val="24"/>
            <w:szCs w:val="24"/>
            <w:u w:val="single"/>
            <w:lang w:eastAsia="es-UY"/>
            <w14:ligatures w14:val="none"/>
          </w:rPr>
          <w:t>posthumanismo</w:t>
        </w:r>
        <w:proofErr w:type="spellEnd"/>
      </w:hyperlink>
      <w:r w:rsidRPr="00F71A41">
        <w:rPr>
          <w:rFonts w:ascii="Arial" w:eastAsia="Times New Roman" w:hAnsi="Arial" w:cs="Arial"/>
          <w:color w:val="333333"/>
          <w:kern w:val="0"/>
          <w:sz w:val="24"/>
          <w:szCs w:val="24"/>
          <w:lang w:eastAsia="es-UY"/>
          <w14:ligatures w14:val="none"/>
        </w:rPr>
        <w:t> .</w:t>
      </w:r>
    </w:p>
    <w:p w14:paraId="66617A9F" w14:textId="77777777" w:rsidR="00F71A41" w:rsidRP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p>
    <w:p w14:paraId="01469414" w14:textId="77777777" w:rsid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r w:rsidRPr="00F71A41">
        <w:rPr>
          <w:rFonts w:ascii="Arial" w:eastAsia="Times New Roman" w:hAnsi="Arial" w:cs="Arial"/>
          <w:color w:val="333333"/>
          <w:kern w:val="0"/>
          <w:sz w:val="24"/>
          <w:szCs w:val="24"/>
          <w:lang w:eastAsia="es-UY"/>
          <w14:ligatures w14:val="none"/>
        </w:rPr>
        <w:t>Ante este escenario distópico, una de las propuestas más contundentes del Papa es destacar el papel fundamental de la educación, ya que actualmente no estamos preparados para afrontar el cambio histórico que estamos viviendo.</w:t>
      </w:r>
    </w:p>
    <w:p w14:paraId="48ED868C" w14:textId="77777777" w:rsidR="00F71A41" w:rsidRP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p>
    <w:p w14:paraId="0BAB7925" w14:textId="77777777" w:rsid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r w:rsidRPr="00F71A41">
        <w:rPr>
          <w:rFonts w:ascii="Arial" w:eastAsia="Times New Roman" w:hAnsi="Arial" w:cs="Arial"/>
          <w:color w:val="333333"/>
          <w:kern w:val="0"/>
          <w:sz w:val="24"/>
          <w:szCs w:val="24"/>
          <w:lang w:eastAsia="es-UY"/>
          <w14:ligatures w14:val="none"/>
        </w:rPr>
        <w:t xml:space="preserve">La educación es fundamental, porque si no nos formamos como seres humanos libres, conscientes y responsables, la máquina pronto acabará educándonos como usuarios y manipulándonos como algoritmos, sin que nos demos cuenta. Por lo tanto, se necesita urgentemente educación para una convivencia responsable con el mundo digital, sin temor a introducir medidas regulatorias de </w:t>
      </w:r>
      <w:r w:rsidRPr="00F71A41">
        <w:rPr>
          <w:rFonts w:ascii="Arial" w:eastAsia="Times New Roman" w:hAnsi="Arial" w:cs="Arial"/>
          <w:color w:val="333333"/>
          <w:kern w:val="0"/>
          <w:sz w:val="24"/>
          <w:szCs w:val="24"/>
          <w:lang w:eastAsia="es-UY"/>
          <w14:ligatures w14:val="none"/>
        </w:rPr>
        <w:lastRenderedPageBreak/>
        <w:t>sobriedad, protección y limitación. Defender a la humanidad en la era digital es un asunto público, ya que </w:t>
      </w:r>
      <w:r w:rsidRPr="00F71A41">
        <w:rPr>
          <w:rFonts w:ascii="Arial" w:eastAsia="Times New Roman" w:hAnsi="Arial" w:cs="Arial"/>
          <w:b/>
          <w:bCs/>
          <w:color w:val="333333"/>
          <w:kern w:val="0"/>
          <w:sz w:val="24"/>
          <w:szCs w:val="24"/>
          <w:lang w:eastAsia="es-UY"/>
          <w14:ligatures w14:val="none"/>
        </w:rPr>
        <w:t>la Inteligencia Artificial</w:t>
      </w:r>
      <w:r w:rsidRPr="00F71A41">
        <w:rPr>
          <w:rFonts w:ascii="Arial" w:eastAsia="Times New Roman" w:hAnsi="Arial" w:cs="Arial"/>
          <w:color w:val="333333"/>
          <w:kern w:val="0"/>
          <w:sz w:val="24"/>
          <w:szCs w:val="24"/>
          <w:lang w:eastAsia="es-UY"/>
          <w14:ligatures w14:val="none"/>
        </w:rPr>
        <w:t> puede ser una aliada o un catalizador de catástrofes sociales.</w:t>
      </w:r>
    </w:p>
    <w:p w14:paraId="15E28CDB" w14:textId="77777777" w:rsidR="00F71A41" w:rsidRP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p>
    <w:p w14:paraId="4C53248F" w14:textId="77777777" w:rsidR="00F71A41" w:rsidRPr="00F71A41" w:rsidRDefault="00F71A41" w:rsidP="00F71A41">
      <w:pPr>
        <w:spacing w:after="0" w:line="240" w:lineRule="auto"/>
        <w:jc w:val="both"/>
        <w:rPr>
          <w:rFonts w:ascii="Arial" w:eastAsia="Times New Roman" w:hAnsi="Arial" w:cs="Arial"/>
          <w:color w:val="333333"/>
          <w:kern w:val="0"/>
          <w:sz w:val="24"/>
          <w:szCs w:val="24"/>
          <w:lang w:eastAsia="es-UY"/>
          <w14:ligatures w14:val="none"/>
        </w:rPr>
      </w:pPr>
      <w:r w:rsidRPr="00F71A41">
        <w:rPr>
          <w:rFonts w:ascii="Arial" w:eastAsia="Times New Roman" w:hAnsi="Arial" w:cs="Arial"/>
          <w:color w:val="333333"/>
          <w:kern w:val="0"/>
          <w:sz w:val="24"/>
          <w:szCs w:val="24"/>
          <w:lang w:eastAsia="es-UY"/>
          <w14:ligatures w14:val="none"/>
        </w:rPr>
        <w:t>Es responsabilidad de las sociedades y de cada uno de nosotros hacer nuestra parte. El Papa </w:t>
      </w:r>
      <w:r w:rsidRPr="00F71A41">
        <w:rPr>
          <w:rFonts w:ascii="Arial" w:eastAsia="Times New Roman" w:hAnsi="Arial" w:cs="Arial"/>
          <w:b/>
          <w:bCs/>
          <w:color w:val="333333"/>
          <w:kern w:val="0"/>
          <w:sz w:val="24"/>
          <w:szCs w:val="24"/>
          <w:lang w:eastAsia="es-UY"/>
          <w14:ligatures w14:val="none"/>
        </w:rPr>
        <w:t>León XIV</w:t>
      </w:r>
      <w:r w:rsidRPr="00F71A41">
        <w:rPr>
          <w:rFonts w:ascii="Arial" w:eastAsia="Times New Roman" w:hAnsi="Arial" w:cs="Arial"/>
          <w:color w:val="333333"/>
          <w:kern w:val="0"/>
          <w:sz w:val="24"/>
          <w:szCs w:val="24"/>
          <w:lang w:eastAsia="es-UY"/>
          <w14:ligatures w14:val="none"/>
        </w:rPr>
        <w:t> apela a la conciencia global, y la forma en que lo hace es crucial. A diferencia del autoritarismo exagerado de tantos líderes contemporáneos, con su estilo humilde y firme, </w:t>
      </w:r>
      <w:r w:rsidRPr="00F71A41">
        <w:rPr>
          <w:rFonts w:ascii="Arial" w:eastAsia="Times New Roman" w:hAnsi="Arial" w:cs="Arial"/>
          <w:b/>
          <w:bCs/>
          <w:color w:val="333333"/>
          <w:kern w:val="0"/>
          <w:sz w:val="24"/>
          <w:szCs w:val="24"/>
          <w:lang w:eastAsia="es-UY"/>
          <w14:ligatures w14:val="none"/>
        </w:rPr>
        <w:t>León XIV</w:t>
      </w:r>
      <w:r w:rsidRPr="00F71A41">
        <w:rPr>
          <w:rFonts w:ascii="Arial" w:eastAsia="Times New Roman" w:hAnsi="Arial" w:cs="Arial"/>
          <w:color w:val="333333"/>
          <w:kern w:val="0"/>
          <w:sz w:val="24"/>
          <w:szCs w:val="24"/>
          <w:lang w:eastAsia="es-UY"/>
          <w14:ligatures w14:val="none"/>
        </w:rPr>
        <w:t xml:space="preserve"> nos ofrece un documento histórico que no se basa en dictados ni </w:t>
      </w:r>
      <w:proofErr w:type="spellStart"/>
      <w:r w:rsidRPr="00F71A41">
        <w:rPr>
          <w:rFonts w:ascii="Arial" w:eastAsia="Times New Roman" w:hAnsi="Arial" w:cs="Arial"/>
          <w:color w:val="333333"/>
          <w:kern w:val="0"/>
          <w:sz w:val="24"/>
          <w:szCs w:val="24"/>
          <w:lang w:eastAsia="es-UY"/>
          <w14:ligatures w14:val="none"/>
        </w:rPr>
        <w:t>ultimátums</w:t>
      </w:r>
      <w:proofErr w:type="spellEnd"/>
      <w:r w:rsidRPr="00F71A41">
        <w:rPr>
          <w:rFonts w:ascii="Arial" w:eastAsia="Times New Roman" w:hAnsi="Arial" w:cs="Arial"/>
          <w:color w:val="333333"/>
          <w:kern w:val="0"/>
          <w:sz w:val="24"/>
          <w:szCs w:val="24"/>
          <w:lang w:eastAsia="es-UY"/>
          <w14:ligatures w14:val="none"/>
        </w:rPr>
        <w:t>, sino que proporciona instrumentos para la reflexión y la toma de decisiones autónoma y creativa: una plataforma espiritual y cultural para comenzar a trabajar juntos con seriedad por nuestro futuro común.</w:t>
      </w:r>
    </w:p>
    <w:p w14:paraId="78D12C07" w14:textId="77777777" w:rsidR="00926044" w:rsidRDefault="00926044"/>
    <w:p w14:paraId="2182DD15" w14:textId="64C567EB" w:rsidR="00F71A41" w:rsidRDefault="00F71A41">
      <w:r w:rsidRPr="00F71A41">
        <w:t>https://www.ihu.unisinos.br/666637-manifesto-humanista-artigo-de-jose-tolentino-de-mendonca</w:t>
      </w:r>
    </w:p>
    <w:sectPr w:rsidR="00F71A4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A41"/>
    <w:rsid w:val="00926044"/>
    <w:rsid w:val="00DE17AC"/>
    <w:rsid w:val="00E13CF8"/>
    <w:rsid w:val="00F71A4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7404C"/>
  <w15:chartTrackingRefBased/>
  <w15:docId w15:val="{10BD8441-6042-4E1F-A272-597BB53B8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71A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71A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71A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71A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71A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71A4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71A4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71A4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71A4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1A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71A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71A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71A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71A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71A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71A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71A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71A41"/>
    <w:rPr>
      <w:rFonts w:eastAsiaTheme="majorEastAsia" w:cstheme="majorBidi"/>
      <w:color w:val="272727" w:themeColor="text1" w:themeTint="D8"/>
    </w:rPr>
  </w:style>
  <w:style w:type="paragraph" w:styleId="Ttulo">
    <w:name w:val="Title"/>
    <w:basedOn w:val="Normal"/>
    <w:next w:val="Normal"/>
    <w:link w:val="TtuloCar"/>
    <w:uiPriority w:val="10"/>
    <w:qFormat/>
    <w:rsid w:val="00F71A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71A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71A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71A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71A41"/>
    <w:pPr>
      <w:spacing w:before="160"/>
      <w:jc w:val="center"/>
    </w:pPr>
    <w:rPr>
      <w:i/>
      <w:iCs/>
      <w:color w:val="404040" w:themeColor="text1" w:themeTint="BF"/>
    </w:rPr>
  </w:style>
  <w:style w:type="character" w:customStyle="1" w:styleId="CitaCar">
    <w:name w:val="Cita Car"/>
    <w:basedOn w:val="Fuentedeprrafopredeter"/>
    <w:link w:val="Cita"/>
    <w:uiPriority w:val="29"/>
    <w:rsid w:val="00F71A41"/>
    <w:rPr>
      <w:i/>
      <w:iCs/>
      <w:color w:val="404040" w:themeColor="text1" w:themeTint="BF"/>
    </w:rPr>
  </w:style>
  <w:style w:type="paragraph" w:styleId="Prrafodelista">
    <w:name w:val="List Paragraph"/>
    <w:basedOn w:val="Normal"/>
    <w:uiPriority w:val="34"/>
    <w:qFormat/>
    <w:rsid w:val="00F71A41"/>
    <w:pPr>
      <w:ind w:left="720"/>
      <w:contextualSpacing/>
    </w:pPr>
  </w:style>
  <w:style w:type="character" w:styleId="nfasisintenso">
    <w:name w:val="Intense Emphasis"/>
    <w:basedOn w:val="Fuentedeprrafopredeter"/>
    <w:uiPriority w:val="21"/>
    <w:qFormat/>
    <w:rsid w:val="00F71A41"/>
    <w:rPr>
      <w:i/>
      <w:iCs/>
      <w:color w:val="0F4761" w:themeColor="accent1" w:themeShade="BF"/>
    </w:rPr>
  </w:style>
  <w:style w:type="paragraph" w:styleId="Citadestacada">
    <w:name w:val="Intense Quote"/>
    <w:basedOn w:val="Normal"/>
    <w:next w:val="Normal"/>
    <w:link w:val="CitadestacadaCar"/>
    <w:uiPriority w:val="30"/>
    <w:qFormat/>
    <w:rsid w:val="00F71A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71A41"/>
    <w:rPr>
      <w:i/>
      <w:iCs/>
      <w:color w:val="0F4761" w:themeColor="accent1" w:themeShade="BF"/>
    </w:rPr>
  </w:style>
  <w:style w:type="character" w:styleId="Referenciaintensa">
    <w:name w:val="Intense Reference"/>
    <w:basedOn w:val="Fuentedeprrafopredeter"/>
    <w:uiPriority w:val="32"/>
    <w:qFormat/>
    <w:rsid w:val="00F71A4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51779-quem-foi-leao-xiii-o-papa-dos-trabalhadores-de-quem-prevost-recebeu-o-nome" TargetMode="External"/><Relationship Id="rId13" Type="http://schemas.openxmlformats.org/officeDocument/2006/relationships/hyperlink" Target="https://ihu.unisinos.br/categorias/607810-sempre-fomos-pos-humanos-filosofia-pos-humanista-e-natureza-humana-artigo-de-roberto-marchesini" TargetMode="External"/><Relationship Id="rId3" Type="http://schemas.openxmlformats.org/officeDocument/2006/relationships/webSettings" Target="webSettings.xml"/><Relationship Id="rId7" Type="http://schemas.openxmlformats.org/officeDocument/2006/relationships/hyperlink" Target="https://www.ihu.unisinos.br/categorias/159-entrevistas/666473-magnifica-humanitas-limites-possibilidades-perspectivas-algumas-analises" TargetMode="External"/><Relationship Id="rId12" Type="http://schemas.openxmlformats.org/officeDocument/2006/relationships/hyperlink" Target="https://ihu.unisinos.br/categorias/612148-sobre-mentes-e-maquinas-o-trans-humanismo-e-o-cristianism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astampa.it/" TargetMode="External"/><Relationship Id="rId11" Type="http://schemas.openxmlformats.org/officeDocument/2006/relationships/hyperlink" Target="https://ihu.unisinos.br/categorias/602513-laudato-si-o-homem-como-protagonista-do-seu-proprio-desenvolvimento" TargetMode="External"/><Relationship Id="rId5" Type="http://schemas.openxmlformats.org/officeDocument/2006/relationships/hyperlink" Target="https://www.ihu.unisinos.br/categorias/642904-a-poesia-e-o-inutil-que-perfuma-a-vida-entrevista-com-o-cardeal-jose-tolentino-de-mendonca" TargetMode="External"/><Relationship Id="rId15" Type="http://schemas.openxmlformats.org/officeDocument/2006/relationships/theme" Target="theme/theme1.xml"/><Relationship Id="rId10" Type="http://schemas.openxmlformats.org/officeDocument/2006/relationships/hyperlink" Target="https://ihu.unisinos.br/666423-permanecer-humanos-na-era-dos-algoritmos-artigo-de-andrea-tornielli" TargetMode="External"/><Relationship Id="rId4" Type="http://schemas.openxmlformats.org/officeDocument/2006/relationships/image" Target="media/image1.png"/><Relationship Id="rId9" Type="http://schemas.openxmlformats.org/officeDocument/2006/relationships/hyperlink" Target="https://ihu.unisinos.br/666346-em-edicao-o-que-e-a-doutrina-social-da-igreja-retomando-a-compreensao-artigo-de-elvis-rezende-messias"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1269</Words>
  <Characters>6980</Characters>
  <Application>Microsoft Office Word</Application>
  <DocSecurity>0</DocSecurity>
  <Lines>58</Lines>
  <Paragraphs>16</Paragraphs>
  <ScaleCrop>false</ScaleCrop>
  <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2026-05-29T14:23:00Z</dcterms:created>
  <dcterms:modified xsi:type="dcterms:W3CDTF">2026-05-29T14:25:00Z</dcterms:modified>
</cp:coreProperties>
</file>