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77E4" w14:textId="77777777" w:rsidR="007D3974" w:rsidRPr="007D3974" w:rsidRDefault="007D3974" w:rsidP="007D3974">
      <w:pPr>
        <w:shd w:val="clear" w:color="auto" w:fill="FFFFFF"/>
        <w:spacing w:after="0" w:line="240" w:lineRule="auto"/>
        <w:jc w:val="center"/>
        <w:outlineLvl w:val="0"/>
        <w:rPr>
          <w:rFonts w:ascii="Arial" w:eastAsia="Times New Roman" w:hAnsi="Arial" w:cs="Arial"/>
          <w:b/>
          <w:bCs/>
          <w:color w:val="BF4E14" w:themeColor="accent2" w:themeShade="BF"/>
          <w:kern w:val="36"/>
          <w:sz w:val="40"/>
          <w:szCs w:val="40"/>
          <w:lang w:eastAsia="es-UY"/>
          <w14:ligatures w14:val="none"/>
        </w:rPr>
      </w:pPr>
      <w:r w:rsidRPr="007D3974">
        <w:rPr>
          <w:rFonts w:ascii="Arial" w:eastAsia="Times New Roman" w:hAnsi="Arial" w:cs="Arial"/>
          <w:b/>
          <w:bCs/>
          <w:color w:val="BF4E14" w:themeColor="accent2" w:themeShade="BF"/>
          <w:kern w:val="36"/>
          <w:sz w:val="40"/>
          <w:szCs w:val="40"/>
          <w:lang w:eastAsia="es-UY"/>
          <w14:ligatures w14:val="none"/>
        </w:rPr>
        <w:t>El problema del tradicionalismo no radica en la religión en sí, sino en una cosmovisión. Artículo de Claudio Monge.</w:t>
      </w:r>
    </w:p>
    <w:p w14:paraId="29603D73" w14:textId="77777777" w:rsid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17323A76" w14:textId="43A19865" w:rsid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color w:val="333333"/>
          <w:kern w:val="0"/>
          <w:sz w:val="24"/>
          <w:szCs w:val="24"/>
          <w:lang w:eastAsia="es-UY"/>
          <w14:ligatures w14:val="none"/>
        </w:rPr>
        <w:t>«Identificar una vida ejemplar basándose únicamente en la "práctica/observancia" puede ser reduccionista. El verdadero desafío para nosotros, los monjes (y para los cristianos en general), es una vida compatible con el evangelismo», escribe  </w:t>
      </w:r>
      <w:hyperlink r:id="rId4" w:tgtFrame="_blank" w:history="1">
        <w:r w:rsidRPr="007D3974">
          <w:rPr>
            <w:rFonts w:ascii="Arial" w:eastAsia="Times New Roman" w:hAnsi="Arial" w:cs="Arial"/>
            <w:color w:val="FC6B01"/>
            <w:kern w:val="0"/>
            <w:sz w:val="24"/>
            <w:szCs w:val="24"/>
            <w:u w:val="single"/>
            <w:lang w:eastAsia="es-UY"/>
            <w14:ligatures w14:val="none"/>
          </w:rPr>
          <w:t>Claudio Monge</w:t>
        </w:r>
      </w:hyperlink>
      <w:r w:rsidRPr="007D3974">
        <w:rPr>
          <w:rFonts w:ascii="Arial" w:eastAsia="Times New Roman" w:hAnsi="Arial" w:cs="Arial"/>
          <w:color w:val="333333"/>
          <w:kern w:val="0"/>
          <w:sz w:val="24"/>
          <w:szCs w:val="24"/>
          <w:lang w:eastAsia="es-UY"/>
          <w14:ligatures w14:val="none"/>
        </w:rPr>
        <w:t> en un artículo publicado en su página </w:t>
      </w:r>
      <w:r w:rsidRPr="007D3974">
        <w:rPr>
          <w:rFonts w:ascii="Arial" w:eastAsia="Times New Roman" w:hAnsi="Arial" w:cs="Arial"/>
          <w:b/>
          <w:bCs/>
          <w:color w:val="333333"/>
          <w:kern w:val="0"/>
          <w:sz w:val="24"/>
          <w:szCs w:val="24"/>
          <w:lang w:eastAsia="es-UY"/>
          <w14:ligatures w14:val="none"/>
        </w:rPr>
        <w:t>de Facebook</w:t>
      </w:r>
      <w:r w:rsidRPr="007D3974">
        <w:rPr>
          <w:rFonts w:ascii="Arial" w:eastAsia="Times New Roman" w:hAnsi="Arial" w:cs="Arial"/>
          <w:color w:val="333333"/>
          <w:kern w:val="0"/>
          <w:sz w:val="24"/>
          <w:szCs w:val="24"/>
          <w:lang w:eastAsia="es-UY"/>
          <w14:ligatures w14:val="none"/>
        </w:rPr>
        <w:t> el 2 de junio de 2026.</w:t>
      </w:r>
    </w:p>
    <w:p w14:paraId="75596CA4"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7CF97876" w14:textId="77777777" w:rsid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b/>
          <w:bCs/>
          <w:color w:val="333333"/>
          <w:kern w:val="0"/>
          <w:sz w:val="24"/>
          <w:szCs w:val="24"/>
          <w:lang w:eastAsia="es-UY"/>
          <w14:ligatures w14:val="none"/>
        </w:rPr>
        <w:t>Claudio Monge</w:t>
      </w:r>
      <w:r w:rsidRPr="007D3974">
        <w:rPr>
          <w:rFonts w:ascii="Arial" w:eastAsia="Times New Roman" w:hAnsi="Arial" w:cs="Arial"/>
          <w:color w:val="333333"/>
          <w:kern w:val="0"/>
          <w:sz w:val="24"/>
          <w:szCs w:val="24"/>
          <w:lang w:eastAsia="es-UY"/>
          <w14:ligatures w14:val="none"/>
        </w:rPr>
        <w:t>  es un fraile dominico y director del Instituto Dominicano de Estudios ( </w:t>
      </w:r>
      <w:r w:rsidRPr="007D3974">
        <w:rPr>
          <w:rFonts w:ascii="Arial" w:eastAsia="Times New Roman" w:hAnsi="Arial" w:cs="Arial"/>
          <w:b/>
          <w:bCs/>
          <w:color w:val="333333"/>
          <w:kern w:val="0"/>
          <w:sz w:val="24"/>
          <w:szCs w:val="24"/>
          <w:lang w:eastAsia="es-UY"/>
          <w14:ligatures w14:val="none"/>
        </w:rPr>
        <w:t>DoSt-I</w:t>
      </w:r>
      <w:r w:rsidRPr="007D3974">
        <w:rPr>
          <w:rFonts w:ascii="Arial" w:eastAsia="Times New Roman" w:hAnsi="Arial" w:cs="Arial"/>
          <w:color w:val="333333"/>
          <w:kern w:val="0"/>
          <w:sz w:val="24"/>
          <w:szCs w:val="24"/>
          <w:lang w:eastAsia="es-UY"/>
          <w14:ligatures w14:val="none"/>
        </w:rPr>
        <w:t> ) en  </w:t>
      </w:r>
      <w:r w:rsidRPr="007D3974">
        <w:rPr>
          <w:rFonts w:ascii="Arial" w:eastAsia="Times New Roman" w:hAnsi="Arial" w:cs="Arial"/>
          <w:b/>
          <w:bCs/>
          <w:color w:val="333333"/>
          <w:kern w:val="0"/>
          <w:sz w:val="24"/>
          <w:szCs w:val="24"/>
          <w:lang w:eastAsia="es-UY"/>
          <w14:ligatures w14:val="none"/>
        </w:rPr>
        <w:t>Estambul</w:t>
      </w:r>
      <w:r w:rsidRPr="007D3974">
        <w:rPr>
          <w:rFonts w:ascii="Arial" w:eastAsia="Times New Roman" w:hAnsi="Arial" w:cs="Arial"/>
          <w:color w:val="333333"/>
          <w:kern w:val="0"/>
          <w:sz w:val="24"/>
          <w:szCs w:val="24"/>
          <w:lang w:eastAsia="es-UY"/>
          <w14:ligatures w14:val="none"/>
        </w:rPr>
        <w:t> .</w:t>
      </w:r>
    </w:p>
    <w:p w14:paraId="46C606B7"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098F3E88" w14:textId="77777777" w:rsidR="007D3974" w:rsidRPr="007D3974" w:rsidRDefault="007D3974" w:rsidP="007D3974">
      <w:pPr>
        <w:spacing w:after="0" w:line="240" w:lineRule="auto"/>
        <w:jc w:val="both"/>
        <w:outlineLvl w:val="1"/>
        <w:rPr>
          <w:rFonts w:ascii="Arial" w:eastAsia="Times New Roman" w:hAnsi="Arial" w:cs="Arial"/>
          <w:b/>
          <w:bCs/>
          <w:color w:val="333333"/>
          <w:kern w:val="0"/>
          <w:sz w:val="32"/>
          <w:szCs w:val="32"/>
          <w:lang w:eastAsia="es-UY"/>
          <w14:ligatures w14:val="none"/>
        </w:rPr>
      </w:pPr>
      <w:r w:rsidRPr="007D3974">
        <w:rPr>
          <w:rFonts w:ascii="Arial" w:eastAsia="Times New Roman" w:hAnsi="Arial" w:cs="Arial"/>
          <w:b/>
          <w:bCs/>
          <w:color w:val="333333"/>
          <w:kern w:val="0"/>
          <w:sz w:val="32"/>
          <w:szCs w:val="32"/>
          <w:lang w:eastAsia="es-UY"/>
          <w14:ligatures w14:val="none"/>
        </w:rPr>
        <w:t>Aquí está el artículo.</w:t>
      </w:r>
    </w:p>
    <w:p w14:paraId="575E9E07" w14:textId="77777777" w:rsid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color w:val="333333"/>
          <w:kern w:val="0"/>
          <w:sz w:val="24"/>
          <w:szCs w:val="24"/>
          <w:lang w:eastAsia="es-UY"/>
          <w14:ligatures w14:val="none"/>
        </w:rPr>
        <w:t>Una carta reciente escrita por el Hermano </w:t>
      </w:r>
      <w:hyperlink r:id="rId5" w:tgtFrame="_blank" w:history="1">
        <w:r w:rsidRPr="007D3974">
          <w:rPr>
            <w:rFonts w:ascii="Arial" w:eastAsia="Times New Roman" w:hAnsi="Arial" w:cs="Arial"/>
            <w:color w:val="FC6B01"/>
            <w:kern w:val="0"/>
            <w:sz w:val="24"/>
            <w:szCs w:val="24"/>
            <w:u w:val="single"/>
            <w:lang w:eastAsia="es-UY"/>
            <w14:ligatures w14:val="none"/>
          </w:rPr>
          <w:t>Michael Davide Semeraro</w:t>
        </w:r>
      </w:hyperlink>
      <w:r w:rsidRPr="007D3974">
        <w:rPr>
          <w:rFonts w:ascii="Arial" w:eastAsia="Times New Roman" w:hAnsi="Arial" w:cs="Arial"/>
          <w:color w:val="333333"/>
          <w:kern w:val="0"/>
          <w:sz w:val="24"/>
          <w:szCs w:val="24"/>
          <w:lang w:eastAsia="es-UY"/>
          <w14:ligatures w14:val="none"/>
        </w:rPr>
        <w:t> , de </w:t>
      </w:r>
      <w:proofErr w:type="spellStart"/>
      <w:r w:rsidRPr="007D3974">
        <w:rPr>
          <w:rFonts w:ascii="Arial" w:eastAsia="Times New Roman" w:hAnsi="Arial" w:cs="Arial"/>
          <w:b/>
          <w:bCs/>
          <w:color w:val="333333"/>
          <w:kern w:val="0"/>
          <w:sz w:val="24"/>
          <w:szCs w:val="24"/>
          <w:lang w:eastAsia="es-UY"/>
          <w14:ligatures w14:val="none"/>
        </w:rPr>
        <w:t>Novalesa</w:t>
      </w:r>
      <w:proofErr w:type="spellEnd"/>
      <w:r w:rsidRPr="007D3974">
        <w:rPr>
          <w:rFonts w:ascii="Arial" w:eastAsia="Times New Roman" w:hAnsi="Arial" w:cs="Arial"/>
          <w:color w:val="333333"/>
          <w:kern w:val="0"/>
          <w:sz w:val="24"/>
          <w:szCs w:val="24"/>
          <w:lang w:eastAsia="es-UY"/>
          <w14:ligatures w14:val="none"/>
        </w:rPr>
        <w:t> , sobre el acalorado </w:t>
      </w:r>
      <w:hyperlink r:id="rId6" w:tgtFrame="_blank" w:history="1">
        <w:r w:rsidRPr="007D3974">
          <w:rPr>
            <w:rFonts w:ascii="Arial" w:eastAsia="Times New Roman" w:hAnsi="Arial" w:cs="Arial"/>
            <w:color w:val="FC6B01"/>
            <w:kern w:val="0"/>
            <w:sz w:val="24"/>
            <w:szCs w:val="24"/>
            <w:u w:val="single"/>
            <w:lang w:eastAsia="es-UY"/>
            <w14:ligatures w14:val="none"/>
          </w:rPr>
          <w:t>debate iniciado por Enzo Bianchi y Andrea Grillo acerca del </w:t>
        </w:r>
        <w:proofErr w:type="spellStart"/>
        <w:r w:rsidRPr="007D3974">
          <w:rPr>
            <w:rFonts w:ascii="Arial" w:eastAsia="Times New Roman" w:hAnsi="Arial" w:cs="Arial"/>
            <w:i/>
            <w:iCs/>
            <w:color w:val="FC6B01"/>
            <w:kern w:val="0"/>
            <w:sz w:val="24"/>
            <w:szCs w:val="24"/>
            <w:u w:val="single"/>
            <w:lang w:eastAsia="es-UY"/>
            <w14:ligatures w14:val="none"/>
          </w:rPr>
          <w:t>Vetus</w:t>
        </w:r>
        <w:proofErr w:type="spellEnd"/>
        <w:r w:rsidRPr="007D3974">
          <w:rPr>
            <w:rFonts w:ascii="Arial" w:eastAsia="Times New Roman" w:hAnsi="Arial" w:cs="Arial"/>
            <w:i/>
            <w:iCs/>
            <w:color w:val="FC6B01"/>
            <w:kern w:val="0"/>
            <w:sz w:val="24"/>
            <w:szCs w:val="24"/>
            <w:u w:val="single"/>
            <w:lang w:eastAsia="es-UY"/>
            <w14:ligatures w14:val="none"/>
          </w:rPr>
          <w:t xml:space="preserve"> Ordo</w:t>
        </w:r>
      </w:hyperlink>
      <w:r w:rsidRPr="007D3974">
        <w:rPr>
          <w:rFonts w:ascii="Arial" w:eastAsia="Times New Roman" w:hAnsi="Arial" w:cs="Arial"/>
          <w:color w:val="333333"/>
          <w:kern w:val="0"/>
          <w:sz w:val="24"/>
          <w:szCs w:val="24"/>
          <w:lang w:eastAsia="es-UY"/>
          <w14:ligatures w14:val="none"/>
        </w:rPr>
        <w:t> , me parece particularmente esclarecedora para comprender la importancia de no minimizar las "consecuencias evangélicas" del "tradicionalismo ritual".</w:t>
      </w:r>
    </w:p>
    <w:p w14:paraId="27FC95AF"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63E15C57" w14:textId="77777777" w:rsid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color w:val="333333"/>
          <w:kern w:val="0"/>
          <w:sz w:val="24"/>
          <w:szCs w:val="24"/>
          <w:lang w:eastAsia="es-UY"/>
          <w14:ligatures w14:val="none"/>
        </w:rPr>
        <w:t>El problema, como bien nos recuerda </w:t>
      </w:r>
      <w:r w:rsidRPr="007D3974">
        <w:rPr>
          <w:rFonts w:ascii="Arial" w:eastAsia="Times New Roman" w:hAnsi="Arial" w:cs="Arial"/>
          <w:b/>
          <w:bCs/>
          <w:color w:val="333333"/>
          <w:kern w:val="0"/>
          <w:sz w:val="24"/>
          <w:szCs w:val="24"/>
          <w:lang w:eastAsia="es-UY"/>
          <w14:ligatures w14:val="none"/>
        </w:rPr>
        <w:t>Semeraro</w:t>
      </w:r>
      <w:r w:rsidRPr="007D3974">
        <w:rPr>
          <w:rFonts w:ascii="Arial" w:eastAsia="Times New Roman" w:hAnsi="Arial" w:cs="Arial"/>
          <w:color w:val="333333"/>
          <w:kern w:val="0"/>
          <w:sz w:val="24"/>
          <w:szCs w:val="24"/>
          <w:lang w:eastAsia="es-UY"/>
          <w14:ligatures w14:val="none"/>
        </w:rPr>
        <w:t> , no reside principalmente </w:t>
      </w:r>
      <w:hyperlink r:id="rId7" w:tgtFrame="_blank" w:history="1">
        <w:r w:rsidRPr="007D3974">
          <w:rPr>
            <w:rFonts w:ascii="Arial" w:eastAsia="Times New Roman" w:hAnsi="Arial" w:cs="Arial"/>
            <w:i/>
            <w:iCs/>
            <w:color w:val="FC6B01"/>
            <w:kern w:val="0"/>
            <w:sz w:val="24"/>
            <w:szCs w:val="24"/>
            <w:u w:val="single"/>
            <w:lang w:eastAsia="es-UY"/>
            <w14:ligatures w14:val="none"/>
          </w:rPr>
          <w:t xml:space="preserve">en </w:t>
        </w:r>
        <w:proofErr w:type="spellStart"/>
        <w:r w:rsidRPr="007D3974">
          <w:rPr>
            <w:rFonts w:ascii="Arial" w:eastAsia="Times New Roman" w:hAnsi="Arial" w:cs="Arial"/>
            <w:i/>
            <w:iCs/>
            <w:color w:val="FC6B01"/>
            <w:kern w:val="0"/>
            <w:sz w:val="24"/>
            <w:szCs w:val="24"/>
            <w:u w:val="single"/>
            <w:lang w:eastAsia="es-UY"/>
            <w14:ligatures w14:val="none"/>
          </w:rPr>
          <w:t>Sacrosanctum</w:t>
        </w:r>
        <w:proofErr w:type="spellEnd"/>
        <w:r w:rsidRPr="007D3974">
          <w:rPr>
            <w:rFonts w:ascii="Arial" w:eastAsia="Times New Roman" w:hAnsi="Arial" w:cs="Arial"/>
            <w:i/>
            <w:iCs/>
            <w:color w:val="FC6B01"/>
            <w:kern w:val="0"/>
            <w:sz w:val="24"/>
            <w:szCs w:val="24"/>
            <w:u w:val="single"/>
            <w:lang w:eastAsia="es-UY"/>
            <w14:ligatures w14:val="none"/>
          </w:rPr>
          <w:t xml:space="preserve"> Concilium</w:t>
        </w:r>
      </w:hyperlink>
      <w:r w:rsidRPr="007D3974">
        <w:rPr>
          <w:rFonts w:ascii="Arial" w:eastAsia="Times New Roman" w:hAnsi="Arial" w:cs="Arial"/>
          <w:color w:val="333333"/>
          <w:kern w:val="0"/>
          <w:sz w:val="24"/>
          <w:szCs w:val="24"/>
          <w:lang w:eastAsia="es-UY"/>
          <w14:ligatures w14:val="none"/>
        </w:rPr>
        <w:t> ( Constitución del Concilio </w:t>
      </w:r>
      <w:hyperlink r:id="rId8" w:tgtFrame="_blank" w:history="1">
        <w:r w:rsidRPr="007D3974">
          <w:rPr>
            <w:rFonts w:ascii="Arial" w:eastAsia="Times New Roman" w:hAnsi="Arial" w:cs="Arial"/>
            <w:color w:val="FC6B01"/>
            <w:kern w:val="0"/>
            <w:sz w:val="24"/>
            <w:szCs w:val="24"/>
            <w:u w:val="single"/>
            <w:lang w:eastAsia="es-UY"/>
            <w14:ligatures w14:val="none"/>
          </w:rPr>
          <w:t>Vaticano II</w:t>
        </w:r>
      </w:hyperlink>
      <w:r w:rsidRPr="007D3974">
        <w:rPr>
          <w:rFonts w:ascii="Arial" w:eastAsia="Times New Roman" w:hAnsi="Arial" w:cs="Arial"/>
          <w:color w:val="333333"/>
          <w:kern w:val="0"/>
          <w:sz w:val="24"/>
          <w:szCs w:val="24"/>
          <w:lang w:eastAsia="es-UY"/>
          <w14:ligatures w14:val="none"/>
        </w:rPr>
        <w:t> sobre la Divina Liturgia) ni en </w:t>
      </w:r>
      <w:hyperlink r:id="rId9" w:tgtFrame="_blank" w:history="1">
        <w:r w:rsidRPr="007D3974">
          <w:rPr>
            <w:rFonts w:ascii="Arial" w:eastAsia="Times New Roman" w:hAnsi="Arial" w:cs="Arial"/>
            <w:i/>
            <w:iCs/>
            <w:color w:val="FC6B01"/>
            <w:kern w:val="0"/>
            <w:sz w:val="24"/>
            <w:szCs w:val="24"/>
            <w:u w:val="single"/>
            <w:lang w:eastAsia="es-UY"/>
            <w14:ligatures w14:val="none"/>
          </w:rPr>
          <w:t>Lumen Gentium</w:t>
        </w:r>
      </w:hyperlink>
      <w:r w:rsidRPr="007D3974">
        <w:rPr>
          <w:rFonts w:ascii="Arial" w:eastAsia="Times New Roman" w:hAnsi="Arial" w:cs="Arial"/>
          <w:color w:val="333333"/>
          <w:kern w:val="0"/>
          <w:sz w:val="24"/>
          <w:szCs w:val="24"/>
          <w:lang w:eastAsia="es-UY"/>
          <w14:ligatures w14:val="none"/>
        </w:rPr>
        <w:t> (Constitución del Vaticano II sobre la Naturaleza y la Misión de la Iglesia como Sacramento y Reino de Cristo), sino más bien en </w:t>
      </w:r>
      <w:proofErr w:type="spellStart"/>
      <w:r w:rsidRPr="007D3974">
        <w:rPr>
          <w:rFonts w:ascii="Arial" w:eastAsia="Times New Roman" w:hAnsi="Arial" w:cs="Arial"/>
          <w:color w:val="333333"/>
          <w:kern w:val="0"/>
          <w:sz w:val="24"/>
          <w:szCs w:val="24"/>
          <w:lang w:eastAsia="es-UY"/>
          <w14:ligatures w14:val="none"/>
        </w:rPr>
        <w:fldChar w:fldCharType="begin"/>
      </w:r>
      <w:r w:rsidRPr="007D3974">
        <w:rPr>
          <w:rFonts w:ascii="Arial" w:eastAsia="Times New Roman" w:hAnsi="Arial" w:cs="Arial"/>
          <w:color w:val="333333"/>
          <w:kern w:val="0"/>
          <w:sz w:val="24"/>
          <w:szCs w:val="24"/>
          <w:lang w:eastAsia="es-UY"/>
          <w14:ligatures w14:val="none"/>
        </w:rPr>
        <w:instrText>HYPERLINK "https://ihu.unisinos.br/categorias/661142-aos-60-anos-gaudium-et-spes-continua-a-impactar-a-igreja-catolica-e-seu-novo-papa" \t "_blank"</w:instrText>
      </w:r>
      <w:r w:rsidRPr="007D3974">
        <w:rPr>
          <w:rFonts w:ascii="Arial" w:eastAsia="Times New Roman" w:hAnsi="Arial" w:cs="Arial"/>
          <w:color w:val="333333"/>
          <w:kern w:val="0"/>
          <w:sz w:val="24"/>
          <w:szCs w:val="24"/>
          <w:lang w:eastAsia="es-UY"/>
          <w14:ligatures w14:val="none"/>
        </w:rPr>
      </w:r>
      <w:r w:rsidRPr="007D3974">
        <w:rPr>
          <w:rFonts w:ascii="Arial" w:eastAsia="Times New Roman" w:hAnsi="Arial" w:cs="Arial"/>
          <w:color w:val="333333"/>
          <w:kern w:val="0"/>
          <w:sz w:val="24"/>
          <w:szCs w:val="24"/>
          <w:lang w:eastAsia="es-UY"/>
          <w14:ligatures w14:val="none"/>
        </w:rPr>
        <w:fldChar w:fldCharType="separate"/>
      </w:r>
      <w:r w:rsidRPr="007D3974">
        <w:rPr>
          <w:rFonts w:ascii="Arial" w:eastAsia="Times New Roman" w:hAnsi="Arial" w:cs="Arial"/>
          <w:i/>
          <w:iCs/>
          <w:color w:val="FC6B01"/>
          <w:kern w:val="0"/>
          <w:sz w:val="24"/>
          <w:szCs w:val="24"/>
          <w:u w:val="single"/>
          <w:lang w:eastAsia="es-UY"/>
          <w14:ligatures w14:val="none"/>
        </w:rPr>
        <w:t>Gaudium</w:t>
      </w:r>
      <w:proofErr w:type="spellEnd"/>
      <w:r w:rsidRPr="007D3974">
        <w:rPr>
          <w:rFonts w:ascii="Arial" w:eastAsia="Times New Roman" w:hAnsi="Arial" w:cs="Arial"/>
          <w:i/>
          <w:iCs/>
          <w:color w:val="FC6B01"/>
          <w:kern w:val="0"/>
          <w:sz w:val="24"/>
          <w:szCs w:val="24"/>
          <w:u w:val="single"/>
          <w:lang w:eastAsia="es-UY"/>
          <w14:ligatures w14:val="none"/>
        </w:rPr>
        <w:t xml:space="preserve"> et Spes</w:t>
      </w:r>
      <w:r w:rsidRPr="007D3974">
        <w:rPr>
          <w:rFonts w:ascii="Arial" w:eastAsia="Times New Roman" w:hAnsi="Arial" w:cs="Arial"/>
          <w:color w:val="333333"/>
          <w:kern w:val="0"/>
          <w:sz w:val="24"/>
          <w:szCs w:val="24"/>
          <w:lang w:eastAsia="es-UY"/>
          <w14:ligatures w14:val="none"/>
        </w:rPr>
        <w:fldChar w:fldCharType="end"/>
      </w:r>
      <w:r w:rsidRPr="007D3974">
        <w:rPr>
          <w:rFonts w:ascii="Arial" w:eastAsia="Times New Roman" w:hAnsi="Arial" w:cs="Arial"/>
          <w:color w:val="333333"/>
          <w:kern w:val="0"/>
          <w:sz w:val="24"/>
          <w:szCs w:val="24"/>
          <w:lang w:eastAsia="es-UY"/>
          <w14:ligatures w14:val="none"/>
        </w:rPr>
        <w:t> (Constitución sobre la Presencia y la Acción de la Iglesia en el Mundo Actual) y </w:t>
      </w:r>
      <w:proofErr w:type="spellStart"/>
      <w:r w:rsidRPr="007D3974">
        <w:rPr>
          <w:rFonts w:ascii="Arial" w:eastAsia="Times New Roman" w:hAnsi="Arial" w:cs="Arial"/>
          <w:color w:val="333333"/>
          <w:kern w:val="0"/>
          <w:sz w:val="24"/>
          <w:szCs w:val="24"/>
          <w:lang w:eastAsia="es-UY"/>
          <w14:ligatures w14:val="none"/>
        </w:rPr>
        <w:fldChar w:fldCharType="begin"/>
      </w:r>
      <w:r w:rsidRPr="007D3974">
        <w:rPr>
          <w:rFonts w:ascii="Arial" w:eastAsia="Times New Roman" w:hAnsi="Arial" w:cs="Arial"/>
          <w:color w:val="333333"/>
          <w:kern w:val="0"/>
          <w:sz w:val="24"/>
          <w:szCs w:val="24"/>
          <w:lang w:eastAsia="es-UY"/>
          <w14:ligatures w14:val="none"/>
        </w:rPr>
        <w:instrText>HYPERLINK "https://www.ihu.unisinos.br/noticias/548516-nostra-aetate-apos-50-anos-historia-e-nao-so-memoria-do-vaticano-ii" \t "_blank"</w:instrText>
      </w:r>
      <w:r w:rsidRPr="007D3974">
        <w:rPr>
          <w:rFonts w:ascii="Arial" w:eastAsia="Times New Roman" w:hAnsi="Arial" w:cs="Arial"/>
          <w:color w:val="333333"/>
          <w:kern w:val="0"/>
          <w:sz w:val="24"/>
          <w:szCs w:val="24"/>
          <w:lang w:eastAsia="es-UY"/>
          <w14:ligatures w14:val="none"/>
        </w:rPr>
      </w:r>
      <w:r w:rsidRPr="007D3974">
        <w:rPr>
          <w:rFonts w:ascii="Arial" w:eastAsia="Times New Roman" w:hAnsi="Arial" w:cs="Arial"/>
          <w:color w:val="333333"/>
          <w:kern w:val="0"/>
          <w:sz w:val="24"/>
          <w:szCs w:val="24"/>
          <w:lang w:eastAsia="es-UY"/>
          <w14:ligatures w14:val="none"/>
        </w:rPr>
        <w:fldChar w:fldCharType="separate"/>
      </w:r>
      <w:r w:rsidRPr="007D3974">
        <w:rPr>
          <w:rFonts w:ascii="Arial" w:eastAsia="Times New Roman" w:hAnsi="Arial" w:cs="Arial"/>
          <w:i/>
          <w:iCs/>
          <w:color w:val="FC6B01"/>
          <w:kern w:val="0"/>
          <w:sz w:val="24"/>
          <w:szCs w:val="24"/>
          <w:u w:val="single"/>
          <w:lang w:eastAsia="es-UY"/>
          <w14:ligatures w14:val="none"/>
        </w:rPr>
        <w:t>Nostra</w:t>
      </w:r>
      <w:proofErr w:type="spellEnd"/>
      <w:r w:rsidRPr="007D3974">
        <w:rPr>
          <w:rFonts w:ascii="Arial" w:eastAsia="Times New Roman" w:hAnsi="Arial" w:cs="Arial"/>
          <w:i/>
          <w:iCs/>
          <w:color w:val="FC6B01"/>
          <w:kern w:val="0"/>
          <w:sz w:val="24"/>
          <w:szCs w:val="24"/>
          <w:u w:val="single"/>
          <w:lang w:eastAsia="es-UY"/>
          <w14:ligatures w14:val="none"/>
        </w:rPr>
        <w:t xml:space="preserve"> </w:t>
      </w:r>
      <w:proofErr w:type="spellStart"/>
      <w:r w:rsidRPr="007D3974">
        <w:rPr>
          <w:rFonts w:ascii="Arial" w:eastAsia="Times New Roman" w:hAnsi="Arial" w:cs="Arial"/>
          <w:i/>
          <w:iCs/>
          <w:color w:val="FC6B01"/>
          <w:kern w:val="0"/>
          <w:sz w:val="24"/>
          <w:szCs w:val="24"/>
          <w:u w:val="single"/>
          <w:lang w:eastAsia="es-UY"/>
          <w14:ligatures w14:val="none"/>
        </w:rPr>
        <w:t>Aetate</w:t>
      </w:r>
      <w:proofErr w:type="spellEnd"/>
      <w:r w:rsidRPr="007D3974">
        <w:rPr>
          <w:rFonts w:ascii="Arial" w:eastAsia="Times New Roman" w:hAnsi="Arial" w:cs="Arial"/>
          <w:color w:val="333333"/>
          <w:kern w:val="0"/>
          <w:sz w:val="24"/>
          <w:szCs w:val="24"/>
          <w:lang w:eastAsia="es-UY"/>
          <w14:ligatures w14:val="none"/>
        </w:rPr>
        <w:fldChar w:fldCharType="end"/>
      </w:r>
      <w:r w:rsidRPr="007D3974">
        <w:rPr>
          <w:rFonts w:ascii="Arial" w:eastAsia="Times New Roman" w:hAnsi="Arial" w:cs="Arial"/>
          <w:color w:val="333333"/>
          <w:kern w:val="0"/>
          <w:sz w:val="24"/>
          <w:szCs w:val="24"/>
          <w:lang w:eastAsia="es-UY"/>
          <w14:ligatures w14:val="none"/>
        </w:rPr>
        <w:t> (Declaración sobre el Sentido Religioso y la Relación entre la Iglesia Católica y las Religiones No Cristianas). El núcleo del razonamiento </w:t>
      </w:r>
      <w:r w:rsidRPr="007D3974">
        <w:rPr>
          <w:rFonts w:ascii="Arial" w:eastAsia="Times New Roman" w:hAnsi="Arial" w:cs="Arial"/>
          <w:b/>
          <w:bCs/>
          <w:color w:val="333333"/>
          <w:kern w:val="0"/>
          <w:sz w:val="24"/>
          <w:szCs w:val="24"/>
          <w:lang w:eastAsia="es-UY"/>
          <w14:ligatures w14:val="none"/>
        </w:rPr>
        <w:t>del Hermano Michael Davide</w:t>
      </w:r>
      <w:r w:rsidRPr="007D3974">
        <w:rPr>
          <w:rFonts w:ascii="Arial" w:eastAsia="Times New Roman" w:hAnsi="Arial" w:cs="Arial"/>
          <w:color w:val="333333"/>
          <w:kern w:val="0"/>
          <w:sz w:val="24"/>
          <w:szCs w:val="24"/>
          <w:lang w:eastAsia="es-UY"/>
          <w14:ligatures w14:val="none"/>
        </w:rPr>
        <w:t> , que concierne principalmente a los monjes pero que puede aplicarse con serenidad, con las debidas distinciones basadas en la naturaleza específica de su carisma, a todas las demás formas de vida cristiana, ya sean ordenadas o laicas, es el siguiente:</w:t>
      </w:r>
    </w:p>
    <w:p w14:paraId="4E16C7D4"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57A061BA" w14:textId="77777777" w:rsidR="007D3974" w:rsidRDefault="007D3974" w:rsidP="007D3974">
      <w:pPr>
        <w:spacing w:after="0" w:line="240" w:lineRule="auto"/>
        <w:jc w:val="both"/>
        <w:rPr>
          <w:rFonts w:ascii="Arial" w:eastAsia="Times New Roman" w:hAnsi="Arial" w:cs="Arial"/>
          <w:i/>
          <w:iCs/>
          <w:color w:val="333333"/>
          <w:kern w:val="0"/>
          <w:sz w:val="24"/>
          <w:szCs w:val="24"/>
          <w:lang w:eastAsia="es-UY"/>
          <w14:ligatures w14:val="none"/>
        </w:rPr>
      </w:pPr>
      <w:r w:rsidRPr="007D3974">
        <w:rPr>
          <w:rFonts w:ascii="Arial" w:eastAsia="Times New Roman" w:hAnsi="Arial" w:cs="Arial"/>
          <w:i/>
          <w:iCs/>
          <w:color w:val="333333"/>
          <w:kern w:val="0"/>
          <w:sz w:val="24"/>
          <w:szCs w:val="24"/>
          <w:lang w:eastAsia="es-UY"/>
          <w14:ligatures w14:val="none"/>
        </w:rPr>
        <w:t>Identificar una vida ejemplar basándose únicamente en la práctica y la observancia puede resultar reduccionista. El verdadero desafío para nosotros, los monjes (y para los cristianos en general), es una vida compatible con el Evangelio. Ahora bien, la compatibilidad evangélica como « </w:t>
      </w:r>
      <w:r w:rsidRPr="007D3974">
        <w:rPr>
          <w:rFonts w:ascii="Arial" w:eastAsia="Times New Roman" w:hAnsi="Arial" w:cs="Arial"/>
          <w:b/>
          <w:bCs/>
          <w:i/>
          <w:iCs/>
          <w:color w:val="333333"/>
          <w:kern w:val="0"/>
          <w:sz w:val="24"/>
          <w:szCs w:val="24"/>
          <w:lang w:eastAsia="es-UY"/>
          <w14:ligatures w14:val="none"/>
        </w:rPr>
        <w:t>imitación de Cristo</w:t>
      </w:r>
      <w:r w:rsidRPr="007D3974">
        <w:rPr>
          <w:rFonts w:ascii="Arial" w:eastAsia="Times New Roman" w:hAnsi="Arial" w:cs="Arial"/>
          <w:i/>
          <w:iCs/>
          <w:color w:val="333333"/>
          <w:kern w:val="0"/>
          <w:sz w:val="24"/>
          <w:szCs w:val="24"/>
          <w:lang w:eastAsia="es-UY"/>
          <w14:ligatures w14:val="none"/>
        </w:rPr>
        <w:t> » no se discierne en los ritos ni en el culto, sino en la compasión y la empatía hacia nuestros hermanos y hermanas en la humanidad, en el mundo real en el que vivimos, ¡ese «mundo» por el que el Padre entregó a su Hijo! La cuestión crucial está ligada al significado evangélico de la lógica pascual, que se desarrolla en una dimensión principalmente existencial y no meramente ritual (el rito es el « </w:t>
      </w:r>
      <w:r w:rsidRPr="007D3974">
        <w:rPr>
          <w:rFonts w:ascii="Arial" w:eastAsia="Times New Roman" w:hAnsi="Arial" w:cs="Arial"/>
          <w:b/>
          <w:bCs/>
          <w:i/>
          <w:iCs/>
          <w:color w:val="333333"/>
          <w:kern w:val="0"/>
          <w:sz w:val="24"/>
          <w:szCs w:val="24"/>
          <w:lang w:eastAsia="es-UY"/>
          <w14:ligatures w14:val="none"/>
        </w:rPr>
        <w:t>culmen et Fons</w:t>
      </w:r>
      <w:r w:rsidRPr="007D3974">
        <w:rPr>
          <w:rFonts w:ascii="Arial" w:eastAsia="Times New Roman" w:hAnsi="Arial" w:cs="Arial"/>
          <w:i/>
          <w:iCs/>
          <w:color w:val="333333"/>
          <w:kern w:val="0"/>
          <w:sz w:val="24"/>
          <w:szCs w:val="24"/>
          <w:lang w:eastAsia="es-UY"/>
          <w14:ligatures w14:val="none"/>
        </w:rPr>
        <w:t> » de la vida, no su fin). Así pues, ¿busca el verdadero cristiano el éxito numérico de sus propias filas (el éxito numérico de cierto tradicionalismo basado en la recuperación de la identidad es innegable en nuestro complejo mundo) o la coherencia de una vida guiada por el </w:t>
      </w:r>
      <w:r w:rsidRPr="007D3974">
        <w:rPr>
          <w:rFonts w:ascii="Arial" w:eastAsia="Times New Roman" w:hAnsi="Arial" w:cs="Arial"/>
          <w:b/>
          <w:bCs/>
          <w:i/>
          <w:iCs/>
          <w:color w:val="333333"/>
          <w:kern w:val="0"/>
          <w:sz w:val="24"/>
          <w:szCs w:val="24"/>
          <w:lang w:eastAsia="es-UY"/>
          <w14:ligatures w14:val="none"/>
        </w:rPr>
        <w:t>Evangelio</w:t>
      </w:r>
      <w:r w:rsidRPr="007D3974">
        <w:rPr>
          <w:rFonts w:ascii="Arial" w:eastAsia="Times New Roman" w:hAnsi="Arial" w:cs="Arial"/>
          <w:i/>
          <w:iCs/>
          <w:color w:val="333333"/>
          <w:kern w:val="0"/>
          <w:sz w:val="24"/>
          <w:szCs w:val="24"/>
          <w:lang w:eastAsia="es-UY"/>
          <w14:ligatures w14:val="none"/>
        </w:rPr>
        <w:t> ?</w:t>
      </w:r>
    </w:p>
    <w:p w14:paraId="33902923"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p>
    <w:p w14:paraId="3ED1FA88"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color w:val="333333"/>
          <w:kern w:val="0"/>
          <w:sz w:val="24"/>
          <w:szCs w:val="24"/>
          <w:lang w:eastAsia="es-UY"/>
          <w14:ligatures w14:val="none"/>
        </w:rPr>
        <w:t>El hermano </w:t>
      </w:r>
      <w:r w:rsidRPr="007D3974">
        <w:rPr>
          <w:rFonts w:ascii="Arial" w:eastAsia="Times New Roman" w:hAnsi="Arial" w:cs="Arial"/>
          <w:b/>
          <w:bCs/>
          <w:color w:val="333333"/>
          <w:kern w:val="0"/>
          <w:sz w:val="24"/>
          <w:szCs w:val="24"/>
          <w:lang w:eastAsia="es-UY"/>
          <w14:ligatures w14:val="none"/>
        </w:rPr>
        <w:t>Michael Davide</w:t>
      </w:r>
      <w:r w:rsidRPr="007D3974">
        <w:rPr>
          <w:rFonts w:ascii="Arial" w:eastAsia="Times New Roman" w:hAnsi="Arial" w:cs="Arial"/>
          <w:color w:val="333333"/>
          <w:kern w:val="0"/>
          <w:sz w:val="24"/>
          <w:szCs w:val="24"/>
          <w:lang w:eastAsia="es-UY"/>
          <w14:ligatures w14:val="none"/>
        </w:rPr>
        <w:t> concluye advirtiendo sobre quienes minimizan la resistencia de los tradicionalistas al </w:t>
      </w:r>
      <w:r w:rsidRPr="007D3974">
        <w:rPr>
          <w:rFonts w:ascii="Arial" w:eastAsia="Times New Roman" w:hAnsi="Arial" w:cs="Arial"/>
          <w:b/>
          <w:bCs/>
          <w:color w:val="333333"/>
          <w:kern w:val="0"/>
          <w:sz w:val="24"/>
          <w:szCs w:val="24"/>
          <w:lang w:eastAsia="es-UY"/>
          <w14:ligatures w14:val="none"/>
        </w:rPr>
        <w:t>Concilio Vaticano II</w:t>
      </w:r>
      <w:r w:rsidRPr="007D3974">
        <w:rPr>
          <w:rFonts w:ascii="Arial" w:eastAsia="Times New Roman" w:hAnsi="Arial" w:cs="Arial"/>
          <w:color w:val="333333"/>
          <w:kern w:val="0"/>
          <w:sz w:val="24"/>
          <w:szCs w:val="24"/>
          <w:lang w:eastAsia="es-UY"/>
          <w14:ligatures w14:val="none"/>
        </w:rPr>
        <w:t xml:space="preserve"> y el significado </w:t>
      </w:r>
      <w:r w:rsidRPr="007D3974">
        <w:rPr>
          <w:rFonts w:ascii="Arial" w:eastAsia="Times New Roman" w:hAnsi="Arial" w:cs="Arial"/>
          <w:color w:val="333333"/>
          <w:kern w:val="0"/>
          <w:sz w:val="24"/>
          <w:szCs w:val="24"/>
          <w:lang w:eastAsia="es-UY"/>
          <w14:ligatures w14:val="none"/>
        </w:rPr>
        <w:lastRenderedPageBreak/>
        <w:t>teológico de su forma de celebrar. Siguiendo este razonamiento, el papel de la teología, como espacio para ampliar la comprensión evangélica, se vuelve irrelevante, desviando toda la atención hacia la repetición, lo que corre el riesgo de convertirse en una mera reconstrucción histórica para mantener una posición cómoda y segura en el mundo, sin prestar atención al mundo en que vivimos.</w:t>
      </w:r>
    </w:p>
    <w:p w14:paraId="188504B5" w14:textId="77777777" w:rsidR="007D3974" w:rsidRPr="007D3974" w:rsidRDefault="007D3974" w:rsidP="007D3974">
      <w:pPr>
        <w:spacing w:after="0" w:line="240" w:lineRule="auto"/>
        <w:jc w:val="both"/>
        <w:rPr>
          <w:rFonts w:ascii="Arial" w:eastAsia="Times New Roman" w:hAnsi="Arial" w:cs="Arial"/>
          <w:color w:val="333333"/>
          <w:kern w:val="0"/>
          <w:sz w:val="24"/>
          <w:szCs w:val="24"/>
          <w:lang w:eastAsia="es-UY"/>
          <w14:ligatures w14:val="none"/>
        </w:rPr>
      </w:pPr>
      <w:r w:rsidRPr="007D3974">
        <w:rPr>
          <w:rFonts w:ascii="Arial" w:eastAsia="Times New Roman" w:hAnsi="Arial" w:cs="Arial"/>
          <w:color w:val="333333"/>
          <w:kern w:val="0"/>
          <w:sz w:val="24"/>
          <w:szCs w:val="24"/>
          <w:lang w:eastAsia="es-UY"/>
          <w14:ligatures w14:val="none"/>
        </w:rPr>
        <w:t>El problema es que, si bien no es difícil ser "cristianos ejemplares", ¡es mucho más complejo convertirse en cristianos "evangélicos" y católicos!</w:t>
      </w:r>
    </w:p>
    <w:p w14:paraId="5E79780C" w14:textId="77777777" w:rsidR="00926044" w:rsidRDefault="00926044"/>
    <w:p w14:paraId="203BB376" w14:textId="7A1022C4" w:rsidR="007D3974" w:rsidRDefault="007D3974">
      <w:hyperlink r:id="rId10" w:history="1">
        <w:r w:rsidRPr="00F45123">
          <w:rPr>
            <w:rStyle w:val="Hipervnculo"/>
          </w:rPr>
          <w:t>https://www.ihu.unisinos.br/666831-o-problema-do-tradicionalismo-nao-esta-relacionado-ao-culto-mas-a-uma-visao-de-mundo-artigo-de-claudio-monge</w:t>
        </w:r>
      </w:hyperlink>
    </w:p>
    <w:p w14:paraId="6BCDD1C6" w14:textId="77777777" w:rsidR="007D3974" w:rsidRDefault="007D3974"/>
    <w:sectPr w:rsidR="007D39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974"/>
    <w:rsid w:val="0024761B"/>
    <w:rsid w:val="007D3974"/>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6ED7"/>
  <w15:chartTrackingRefBased/>
  <w15:docId w15:val="{1CCABA0E-C722-4BF0-BC69-C82FA6F5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39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39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397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397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397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397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397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397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397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397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397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397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39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39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39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39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39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3974"/>
    <w:rPr>
      <w:rFonts w:eastAsiaTheme="majorEastAsia" w:cstheme="majorBidi"/>
      <w:color w:val="272727" w:themeColor="text1" w:themeTint="D8"/>
    </w:rPr>
  </w:style>
  <w:style w:type="paragraph" w:styleId="Ttulo">
    <w:name w:val="Title"/>
    <w:basedOn w:val="Normal"/>
    <w:next w:val="Normal"/>
    <w:link w:val="TtuloCar"/>
    <w:uiPriority w:val="10"/>
    <w:qFormat/>
    <w:rsid w:val="007D39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397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397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397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3974"/>
    <w:pPr>
      <w:spacing w:before="160"/>
      <w:jc w:val="center"/>
    </w:pPr>
    <w:rPr>
      <w:i/>
      <w:iCs/>
      <w:color w:val="404040" w:themeColor="text1" w:themeTint="BF"/>
    </w:rPr>
  </w:style>
  <w:style w:type="character" w:customStyle="1" w:styleId="CitaCar">
    <w:name w:val="Cita Car"/>
    <w:basedOn w:val="Fuentedeprrafopredeter"/>
    <w:link w:val="Cita"/>
    <w:uiPriority w:val="29"/>
    <w:rsid w:val="007D3974"/>
    <w:rPr>
      <w:i/>
      <w:iCs/>
      <w:color w:val="404040" w:themeColor="text1" w:themeTint="BF"/>
    </w:rPr>
  </w:style>
  <w:style w:type="paragraph" w:styleId="Prrafodelista">
    <w:name w:val="List Paragraph"/>
    <w:basedOn w:val="Normal"/>
    <w:uiPriority w:val="34"/>
    <w:qFormat/>
    <w:rsid w:val="007D3974"/>
    <w:pPr>
      <w:ind w:left="720"/>
      <w:contextualSpacing/>
    </w:pPr>
  </w:style>
  <w:style w:type="character" w:styleId="nfasisintenso">
    <w:name w:val="Intense Emphasis"/>
    <w:basedOn w:val="Fuentedeprrafopredeter"/>
    <w:uiPriority w:val="21"/>
    <w:qFormat/>
    <w:rsid w:val="007D3974"/>
    <w:rPr>
      <w:i/>
      <w:iCs/>
      <w:color w:val="0F4761" w:themeColor="accent1" w:themeShade="BF"/>
    </w:rPr>
  </w:style>
  <w:style w:type="paragraph" w:styleId="Citadestacada">
    <w:name w:val="Intense Quote"/>
    <w:basedOn w:val="Normal"/>
    <w:next w:val="Normal"/>
    <w:link w:val="CitadestacadaCar"/>
    <w:uiPriority w:val="30"/>
    <w:qFormat/>
    <w:rsid w:val="007D39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3974"/>
    <w:rPr>
      <w:i/>
      <w:iCs/>
      <w:color w:val="0F4761" w:themeColor="accent1" w:themeShade="BF"/>
    </w:rPr>
  </w:style>
  <w:style w:type="character" w:styleId="Referenciaintensa">
    <w:name w:val="Intense Reference"/>
    <w:basedOn w:val="Fuentedeprrafopredeter"/>
    <w:uiPriority w:val="32"/>
    <w:qFormat/>
    <w:rsid w:val="007D3974"/>
    <w:rPr>
      <w:b/>
      <w:bCs/>
      <w:smallCaps/>
      <w:color w:val="0F4761" w:themeColor="accent1" w:themeShade="BF"/>
      <w:spacing w:val="5"/>
    </w:rPr>
  </w:style>
  <w:style w:type="character" w:styleId="Hipervnculo">
    <w:name w:val="Hyperlink"/>
    <w:basedOn w:val="Fuentedeprrafopredeter"/>
    <w:uiPriority w:val="99"/>
    <w:unhideWhenUsed/>
    <w:rsid w:val="007D3974"/>
    <w:rPr>
      <w:color w:val="467886" w:themeColor="hyperlink"/>
      <w:u w:val="single"/>
    </w:rPr>
  </w:style>
  <w:style w:type="character" w:styleId="Mencinsinresolver">
    <w:name w:val="Unresolved Mention"/>
    <w:basedOn w:val="Fuentedeprrafopredeter"/>
    <w:uiPriority w:val="99"/>
    <w:semiHidden/>
    <w:unhideWhenUsed/>
    <w:rsid w:val="007D3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hu.unisinos.br/categorias/631073-um-impressionante-manual-sobre-o-concilio-vaticano-ii" TargetMode="External"/><Relationship Id="rId3" Type="http://schemas.openxmlformats.org/officeDocument/2006/relationships/webSettings" Target="webSettings.xml"/><Relationship Id="rId7" Type="http://schemas.openxmlformats.org/officeDocument/2006/relationships/hyperlink" Target="https://ihu.unisinos.br/507217-concilio-vaticano-ii-a-constituicao-sacrosanctum-conciliu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hu.unisinos.br/666745-uma-carta-sobre-o-rito-romano-carta-de-enzo-bianchi" TargetMode="External"/><Relationship Id="rId11" Type="http://schemas.openxmlformats.org/officeDocument/2006/relationships/fontTable" Target="fontTable.xml"/><Relationship Id="rId5" Type="http://schemas.openxmlformats.org/officeDocument/2006/relationships/hyperlink" Target="https://www.ihu.unisinos.br/666779-sem-querer-menosprezar-o-vetus-ordo-uma-carta-do-irmao-michael-davide-semeraro-osb-artigo-de-andrea-grillo" TargetMode="External"/><Relationship Id="rId10" Type="http://schemas.openxmlformats.org/officeDocument/2006/relationships/hyperlink" Target="https://www.ihu.unisinos.br/666831-o-problema-do-tradicionalismo-nao-esta-relacionado-ao-culto-mas-a-uma-visao-de-mundo-artigo-de-claudio-monge" TargetMode="External"/><Relationship Id="rId4" Type="http://schemas.openxmlformats.org/officeDocument/2006/relationships/hyperlink" Target="https://ihu.unisinos.br/660593-monge-a-viagem-a-turquia-e-um-evento-historico-entrevista-com-claudio-monge" TargetMode="External"/><Relationship Id="rId9" Type="http://schemas.openxmlformats.org/officeDocument/2006/relationships/hyperlink" Target="https://ihu.unisinos.br/categorias/646299-lumen-gentium-o-inicio-do-fim-do-governo-cleric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4074</Characters>
  <Application>Microsoft Office Word</Application>
  <DocSecurity>0</DocSecurity>
  <Lines>33</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2026-06-03T12:24:00Z</dcterms:created>
  <dcterms:modified xsi:type="dcterms:W3CDTF">2026-06-03T12:26:00Z</dcterms:modified>
</cp:coreProperties>
</file>