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8FF2A9" w14:textId="77777777" w:rsidR="004607F4" w:rsidRPr="004607F4" w:rsidRDefault="004607F4" w:rsidP="004607F4">
      <w:pPr>
        <w:shd w:val="clear" w:color="auto" w:fill="FFFFFF"/>
        <w:spacing w:after="0" w:line="240" w:lineRule="auto"/>
        <w:rPr>
          <w:rFonts w:ascii="Arial" w:eastAsia="Times New Roman" w:hAnsi="Arial" w:cs="Arial"/>
          <w:color w:val="1D1D1B"/>
          <w:kern w:val="0"/>
          <w:sz w:val="24"/>
          <w:szCs w:val="24"/>
          <w:lang w:val="it-IT" w:eastAsia="es-UY"/>
          <w14:ligatures w14:val="none"/>
        </w:rPr>
      </w:pPr>
      <w:r w:rsidRPr="004607F4">
        <w:rPr>
          <w:rFonts w:ascii="Arial" w:eastAsia="Times New Roman" w:hAnsi="Arial" w:cs="Arial"/>
          <w:color w:val="1D1D1B"/>
          <w:kern w:val="0"/>
          <w:sz w:val="24"/>
          <w:szCs w:val="24"/>
          <w:lang w:eastAsia="es-UY"/>
          <w14:ligatures w14:val="none"/>
        </w:rPr>
        <w:fldChar w:fldCharType="begin"/>
      </w:r>
      <w:r w:rsidRPr="004607F4">
        <w:rPr>
          <w:rFonts w:ascii="Arial" w:eastAsia="Times New Roman" w:hAnsi="Arial" w:cs="Arial"/>
          <w:color w:val="1D1D1B"/>
          <w:kern w:val="0"/>
          <w:sz w:val="24"/>
          <w:szCs w:val="24"/>
          <w:lang w:val="it-IT" w:eastAsia="es-UY"/>
          <w14:ligatures w14:val="none"/>
        </w:rPr>
        <w:instrText>HYPERLINK "https://debatesindigenas.org/etiqueta/argentina/"</w:instrText>
      </w:r>
      <w:r w:rsidRPr="004607F4">
        <w:rPr>
          <w:rFonts w:ascii="Arial" w:eastAsia="Times New Roman" w:hAnsi="Arial" w:cs="Arial"/>
          <w:color w:val="1D1D1B"/>
          <w:kern w:val="0"/>
          <w:sz w:val="24"/>
          <w:szCs w:val="24"/>
          <w:lang w:eastAsia="es-UY"/>
          <w14:ligatures w14:val="none"/>
        </w:rPr>
      </w:r>
      <w:r w:rsidRPr="004607F4">
        <w:rPr>
          <w:rFonts w:ascii="Arial" w:eastAsia="Times New Roman" w:hAnsi="Arial" w:cs="Arial"/>
          <w:color w:val="1D1D1B"/>
          <w:kern w:val="0"/>
          <w:sz w:val="24"/>
          <w:szCs w:val="24"/>
          <w:lang w:eastAsia="es-UY"/>
          <w14:ligatures w14:val="none"/>
        </w:rPr>
        <w:fldChar w:fldCharType="separate"/>
      </w:r>
      <w:r w:rsidRPr="004607F4">
        <w:rPr>
          <w:rFonts w:ascii="Arial" w:eastAsia="Times New Roman" w:hAnsi="Arial" w:cs="Arial"/>
          <w:b/>
          <w:bCs/>
          <w:caps/>
          <w:color w:val="1D1D1B"/>
          <w:spacing w:val="14"/>
          <w:kern w:val="0"/>
          <w:sz w:val="18"/>
          <w:szCs w:val="18"/>
          <w:bdr w:val="single" w:sz="6" w:space="3" w:color="DCDCF0" w:frame="1"/>
          <w:lang w:val="it-IT" w:eastAsia="es-UY"/>
          <w14:ligatures w14:val="none"/>
        </w:rPr>
        <w:t>Argentina</w:t>
      </w:r>
      <w:r w:rsidRPr="004607F4">
        <w:rPr>
          <w:rFonts w:ascii="Arial" w:eastAsia="Times New Roman" w:hAnsi="Arial" w:cs="Arial"/>
          <w:color w:val="1D1D1B"/>
          <w:kern w:val="0"/>
          <w:sz w:val="24"/>
          <w:szCs w:val="24"/>
          <w:lang w:eastAsia="es-UY"/>
          <w14:ligatures w14:val="none"/>
        </w:rPr>
        <w:fldChar w:fldCharType="end"/>
      </w:r>
    </w:p>
    <w:p w14:paraId="465D39ED" w14:textId="77777777" w:rsidR="004607F4" w:rsidRPr="004607F4" w:rsidRDefault="004607F4" w:rsidP="004607F4">
      <w:pPr>
        <w:shd w:val="clear" w:color="auto" w:fill="FFFFFF"/>
        <w:spacing w:after="100" w:afterAutospacing="1" w:line="240" w:lineRule="auto"/>
        <w:outlineLvl w:val="3"/>
        <w:rPr>
          <w:rFonts w:ascii="Arial" w:eastAsia="Times New Roman" w:hAnsi="Arial" w:cs="Arial"/>
          <w:color w:val="1D1D1B"/>
          <w:kern w:val="0"/>
          <w:sz w:val="24"/>
          <w:szCs w:val="24"/>
          <w:lang w:val="it-IT" w:eastAsia="es-UY"/>
          <w14:ligatures w14:val="none"/>
        </w:rPr>
      </w:pPr>
      <w:hyperlink r:id="rId5" w:tooltip="Natalia Castelnuovo Biraben" w:history="1">
        <w:r w:rsidRPr="004607F4">
          <w:rPr>
            <w:rFonts w:ascii="Arial" w:eastAsia="Times New Roman" w:hAnsi="Arial" w:cs="Arial"/>
            <w:color w:val="1D1D1B"/>
            <w:kern w:val="0"/>
            <w:sz w:val="24"/>
            <w:szCs w:val="24"/>
            <w:lang w:val="it-IT" w:eastAsia="es-UY"/>
            <w14:ligatures w14:val="none"/>
          </w:rPr>
          <w:t>Natalia Castelnuovo Biraben</w:t>
        </w:r>
      </w:hyperlink>
      <w:r w:rsidRPr="004607F4">
        <w:rPr>
          <w:rFonts w:ascii="Arial" w:eastAsia="Times New Roman" w:hAnsi="Arial" w:cs="Arial"/>
          <w:color w:val="1D1D1B"/>
          <w:kern w:val="0"/>
          <w:sz w:val="24"/>
          <w:szCs w:val="24"/>
          <w:lang w:val="it-IT" w:eastAsia="es-UY"/>
          <w14:ligatures w14:val="none"/>
        </w:rPr>
        <w:t>, </w:t>
      </w:r>
      <w:hyperlink r:id="rId6" w:tooltip="Anabella Denuncio" w:history="1">
        <w:r w:rsidRPr="004607F4">
          <w:rPr>
            <w:rFonts w:ascii="Arial" w:eastAsia="Times New Roman" w:hAnsi="Arial" w:cs="Arial"/>
            <w:color w:val="1D1D1B"/>
            <w:kern w:val="0"/>
            <w:sz w:val="24"/>
            <w:szCs w:val="24"/>
            <w:lang w:val="it-IT" w:eastAsia="es-UY"/>
            <w14:ligatures w14:val="none"/>
          </w:rPr>
          <w:t>Anabella Denuncio</w:t>
        </w:r>
      </w:hyperlink>
      <w:r w:rsidRPr="004607F4">
        <w:rPr>
          <w:rFonts w:ascii="Arial" w:eastAsia="Times New Roman" w:hAnsi="Arial" w:cs="Arial"/>
          <w:color w:val="1D1D1B"/>
          <w:kern w:val="0"/>
          <w:sz w:val="24"/>
          <w:szCs w:val="24"/>
          <w:lang w:val="it-IT" w:eastAsia="es-UY"/>
          <w14:ligatures w14:val="none"/>
        </w:rPr>
        <w:t>, </w:t>
      </w:r>
      <w:hyperlink r:id="rId7" w:tooltip="Natalia Boffa" w:history="1">
        <w:r w:rsidRPr="004607F4">
          <w:rPr>
            <w:rFonts w:ascii="Arial" w:eastAsia="Times New Roman" w:hAnsi="Arial" w:cs="Arial"/>
            <w:color w:val="1D1D1B"/>
            <w:kern w:val="0"/>
            <w:sz w:val="24"/>
            <w:szCs w:val="24"/>
            <w:lang w:val="it-IT" w:eastAsia="es-UY"/>
            <w14:ligatures w14:val="none"/>
          </w:rPr>
          <w:t>Natalia Boffa</w:t>
        </w:r>
      </w:hyperlink>
    </w:p>
    <w:p w14:paraId="01840EBF" w14:textId="77777777" w:rsidR="004607F4" w:rsidRPr="004607F4" w:rsidRDefault="004607F4" w:rsidP="004607F4">
      <w:pPr>
        <w:shd w:val="clear" w:color="auto" w:fill="FFFFFF"/>
        <w:spacing w:after="0" w:line="240" w:lineRule="auto"/>
        <w:rPr>
          <w:rFonts w:ascii="Arial" w:eastAsia="Times New Roman" w:hAnsi="Arial" w:cs="Arial"/>
          <w:b/>
          <w:bCs/>
          <w:color w:val="1D1D1B"/>
          <w:kern w:val="0"/>
          <w:sz w:val="24"/>
          <w:szCs w:val="24"/>
          <w:lang w:eastAsia="es-UY"/>
          <w14:ligatures w14:val="none"/>
        </w:rPr>
      </w:pPr>
      <w:r w:rsidRPr="004607F4">
        <w:rPr>
          <w:rFonts w:ascii="Arial" w:eastAsia="Times New Roman" w:hAnsi="Arial" w:cs="Arial"/>
          <w:b/>
          <w:bCs/>
          <w:color w:val="1D1D1B"/>
          <w:kern w:val="0"/>
          <w:sz w:val="24"/>
          <w:szCs w:val="24"/>
          <w:lang w:eastAsia="es-UY"/>
          <w14:ligatures w14:val="none"/>
        </w:rPr>
        <w:t>1 de junio de 2026</w:t>
      </w:r>
    </w:p>
    <w:p w14:paraId="42365A1A" w14:textId="77777777" w:rsidR="004607F4" w:rsidRPr="004607F4" w:rsidRDefault="004607F4" w:rsidP="004607F4">
      <w:pPr>
        <w:shd w:val="clear" w:color="auto" w:fill="FFFFFF"/>
        <w:spacing w:after="0" w:line="240" w:lineRule="auto"/>
        <w:rPr>
          <w:rFonts w:ascii="Arial" w:eastAsia="Times New Roman" w:hAnsi="Arial" w:cs="Arial"/>
          <w:color w:val="1D1D1B"/>
          <w:kern w:val="0"/>
          <w:sz w:val="24"/>
          <w:szCs w:val="24"/>
          <w:lang w:eastAsia="es-UY"/>
          <w14:ligatures w14:val="none"/>
        </w:rPr>
      </w:pPr>
      <w:r w:rsidRPr="004607F4">
        <w:rPr>
          <w:rFonts w:ascii="Arial" w:eastAsia="Times New Roman" w:hAnsi="Arial" w:cs="Arial"/>
          <w:noProof/>
          <w:color w:val="2B7AAA"/>
          <w:kern w:val="0"/>
          <w:sz w:val="24"/>
          <w:szCs w:val="24"/>
          <w:lang w:eastAsia="es-UY"/>
          <w14:ligatures w14:val="none"/>
        </w:rPr>
        <mc:AlternateContent>
          <mc:Choice Requires="wps">
            <w:drawing>
              <wp:inline distT="0" distB="0" distL="0" distR="0" wp14:anchorId="6353FDC5" wp14:editId="283B5778">
                <wp:extent cx="304800" cy="304800"/>
                <wp:effectExtent l="0" t="0" r="0" b="0"/>
                <wp:docPr id="554049641" name="AutoShape 1" descr="Print Friendly, PDF &amp; Email">
                  <a:hlinkClick xmlns:a="http://schemas.openxmlformats.org/drawingml/2006/main" r:id="rId8" tooltip="&quot;Printer Friendly, PDF &amp; Email&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DC269E" id="AutoShape 1" o:spid="_x0000_s1026" alt="Print Friendly, PDF &amp; Email" href="https://debatesindigenas.org/2026/06/01/estar-en-el-territorio-es-nuestra-mejor-defensa-la-resistencia-territorial-indigena-y-campesina-en-jujuy/" title="&quot;Printer Friendly, PDF &amp; Email&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p>
    <w:p w14:paraId="3A2B7170" w14:textId="77777777" w:rsidR="004607F4" w:rsidRPr="004607F4" w:rsidRDefault="004607F4" w:rsidP="004607F4">
      <w:pPr>
        <w:shd w:val="clear" w:color="auto" w:fill="FFFFFF"/>
        <w:spacing w:after="100" w:afterAutospacing="1" w:line="240" w:lineRule="auto"/>
        <w:jc w:val="both"/>
        <w:outlineLvl w:val="0"/>
        <w:rPr>
          <w:rFonts w:ascii="Arial" w:eastAsia="Times New Roman" w:hAnsi="Arial" w:cs="Arial"/>
          <w:b/>
          <w:bCs/>
          <w:color w:val="003250"/>
          <w:kern w:val="36"/>
          <w:sz w:val="48"/>
          <w:szCs w:val="48"/>
          <w:lang w:eastAsia="es-UY"/>
          <w14:ligatures w14:val="none"/>
        </w:rPr>
      </w:pPr>
      <w:r w:rsidRPr="004607F4">
        <w:rPr>
          <w:rFonts w:ascii="Arial" w:eastAsia="Times New Roman" w:hAnsi="Arial" w:cs="Arial"/>
          <w:b/>
          <w:bCs/>
          <w:color w:val="003250"/>
          <w:kern w:val="36"/>
          <w:sz w:val="48"/>
          <w:szCs w:val="48"/>
          <w:lang w:eastAsia="es-UY"/>
          <w14:ligatures w14:val="none"/>
        </w:rPr>
        <w:t>“Estar en el territorio es nuestra mejor defensa”: la resistencia territorial indígena y campesina en Jujuy</w:t>
      </w:r>
    </w:p>
    <w:p w14:paraId="2FAB9A66" w14:textId="1B59EF96" w:rsidR="004607F4" w:rsidRPr="004607F4" w:rsidRDefault="004607F4" w:rsidP="004607F4">
      <w:pPr>
        <w:shd w:val="clear" w:color="auto" w:fill="FFFFFF"/>
        <w:spacing w:after="0" w:line="240" w:lineRule="auto"/>
        <w:jc w:val="both"/>
        <w:rPr>
          <w:rFonts w:ascii="Arial" w:eastAsia="Times New Roman" w:hAnsi="Arial" w:cs="Arial"/>
          <w:color w:val="1D1D1B"/>
          <w:kern w:val="0"/>
          <w:sz w:val="24"/>
          <w:szCs w:val="24"/>
          <w:lang w:eastAsia="es-UY"/>
          <w14:ligatures w14:val="none"/>
        </w:rPr>
      </w:pPr>
    </w:p>
    <w:p w14:paraId="236063B4" w14:textId="77777777" w:rsidR="004607F4" w:rsidRPr="004607F4" w:rsidRDefault="004607F4" w:rsidP="004607F4">
      <w:pPr>
        <w:spacing w:after="100" w:afterAutospacing="1" w:line="240" w:lineRule="auto"/>
        <w:jc w:val="both"/>
        <w:rPr>
          <w:rFonts w:ascii="Arial" w:eastAsia="Times New Roman" w:hAnsi="Arial" w:cs="Arial"/>
          <w:color w:val="003250"/>
          <w:kern w:val="0"/>
          <w:sz w:val="24"/>
          <w:szCs w:val="24"/>
          <w:lang w:eastAsia="es-UY"/>
          <w14:ligatures w14:val="none"/>
        </w:rPr>
      </w:pPr>
      <w:r w:rsidRPr="004607F4">
        <w:rPr>
          <w:rFonts w:ascii="Arial" w:eastAsia="Times New Roman" w:hAnsi="Arial" w:cs="Arial"/>
          <w:color w:val="003250"/>
          <w:kern w:val="0"/>
          <w:sz w:val="24"/>
          <w:szCs w:val="24"/>
          <w:lang w:eastAsia="es-UY"/>
          <w14:ligatures w14:val="none"/>
        </w:rPr>
        <w:t>En el Noroeste de Argentina, la minería del litio, la vitivinicultura y el turismo avanzan sobre los territorios indígenas y las comunidades campesinas. Frente a una nueva ola de despojo, la presencia de los cuerpos en el territorio es la principal herramienta de defensa. Las comunidades indígenas y campesinas de Jujuy nos enseñan a imaginar otras formas de habitar y relacionarnos con la naturaleza. Así, el territorio es un tejido vivo de historias, que se resiste a ser reducido por la lógica del mercado.</w:t>
      </w:r>
    </w:p>
    <w:p w14:paraId="43DDC80F" w14:textId="77777777" w:rsidR="004607F4" w:rsidRPr="004607F4" w:rsidRDefault="004607F4" w:rsidP="004607F4">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4607F4">
        <w:rPr>
          <w:rFonts w:ascii="Times New Roman" w:eastAsia="Times New Roman" w:hAnsi="Times New Roman" w:cs="Times New Roman"/>
          <w:kern w:val="0"/>
          <w:sz w:val="24"/>
          <w:szCs w:val="24"/>
          <w:lang w:eastAsia="es-UY"/>
          <w14:ligatures w14:val="none"/>
        </w:rPr>
        <w:t>Los proyectos de “modernización” y “desarrollo” suelen prometer soluciones frente a la pobreza, el acceso a la educación, la salud y la obra pública en territorios alejados de los centros urbanos. No obstante, en la provincia de Jujuy, estos proyectos han convertido a esos mismos territorios en objeto de especulación inmobiliaria y </w:t>
      </w:r>
      <w:r w:rsidRPr="004607F4">
        <w:rPr>
          <w:rFonts w:ascii="Times New Roman" w:eastAsia="Times New Roman" w:hAnsi="Times New Roman" w:cs="Times New Roman"/>
          <w:i/>
          <w:iCs/>
          <w:kern w:val="0"/>
          <w:sz w:val="24"/>
          <w:szCs w:val="24"/>
          <w:lang w:eastAsia="es-UY"/>
          <w14:ligatures w14:val="none"/>
        </w:rPr>
        <w:t>zonas de sacrificio</w:t>
      </w:r>
      <w:r w:rsidRPr="004607F4">
        <w:rPr>
          <w:rFonts w:ascii="Times New Roman" w:eastAsia="Times New Roman" w:hAnsi="Times New Roman" w:cs="Times New Roman"/>
          <w:kern w:val="0"/>
          <w:sz w:val="24"/>
          <w:szCs w:val="24"/>
          <w:lang w:eastAsia="es-UY"/>
          <w14:ligatures w14:val="none"/>
        </w:rPr>
        <w:t xml:space="preserve"> para el </w:t>
      </w:r>
      <w:proofErr w:type="spellStart"/>
      <w:r w:rsidRPr="004607F4">
        <w:rPr>
          <w:rFonts w:ascii="Times New Roman" w:eastAsia="Times New Roman" w:hAnsi="Times New Roman" w:cs="Times New Roman"/>
          <w:kern w:val="0"/>
          <w:sz w:val="24"/>
          <w:szCs w:val="24"/>
          <w:lang w:eastAsia="es-UY"/>
          <w14:ligatures w14:val="none"/>
        </w:rPr>
        <w:t>extractivismo</w:t>
      </w:r>
      <w:proofErr w:type="spellEnd"/>
      <w:r w:rsidRPr="004607F4">
        <w:rPr>
          <w:rFonts w:ascii="Times New Roman" w:eastAsia="Times New Roman" w:hAnsi="Times New Roman" w:cs="Times New Roman"/>
          <w:kern w:val="0"/>
          <w:sz w:val="24"/>
          <w:szCs w:val="24"/>
          <w:lang w:eastAsia="es-UY"/>
          <w14:ligatures w14:val="none"/>
        </w:rPr>
        <w:t>. En este marco, su análisis no debería abordarse solamente en términos de pobreza, empleo o alfabetización, sino en el control de los territorios y recursos vitales como el agua, la memoria, sus significados y sus usos tradicionales.</w:t>
      </w:r>
    </w:p>
    <w:p w14:paraId="2E50AEDB" w14:textId="77777777" w:rsidR="004607F4" w:rsidRPr="004607F4" w:rsidRDefault="004607F4" w:rsidP="004607F4">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4607F4">
        <w:rPr>
          <w:rFonts w:ascii="Times New Roman" w:eastAsia="Times New Roman" w:hAnsi="Times New Roman" w:cs="Times New Roman"/>
          <w:kern w:val="0"/>
          <w:sz w:val="24"/>
          <w:szCs w:val="24"/>
          <w:lang w:eastAsia="es-UY"/>
          <w14:ligatures w14:val="none"/>
        </w:rPr>
        <w:t>Ubicada en el Noroeste argentino, en los últimos años, la geografía de Jujuy atraviesa una metamorfosis profunda. Ya no se trata solo de la minería histórica de plomo y zinc: en la época de los autos eléctricos y la llamada “transición energética”, la fiebre del litio en las salinas y la búsqueda de tierras raras conviven con una vitivinicultura emergente y un turismo que satura los paisajes. Estos procesos encarados por inversionistas privados, amparados por reformas diseñadas a medida del capital, impactan sobre los territorios indígenas y las tierras de los campesinos cuya seguridad jurídica es de por sí precaria.</w:t>
      </w:r>
    </w:p>
    <w:p w14:paraId="6850E55E" w14:textId="77777777" w:rsidR="004607F4" w:rsidRPr="004607F4" w:rsidRDefault="004607F4" w:rsidP="004607F4">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4607F4">
        <w:rPr>
          <w:rFonts w:ascii="Times New Roman" w:eastAsia="Times New Roman" w:hAnsi="Times New Roman" w:cs="Times New Roman"/>
          <w:kern w:val="0"/>
          <w:sz w:val="24"/>
          <w:szCs w:val="24"/>
          <w:lang w:eastAsia="es-UY"/>
          <w14:ligatures w14:val="none"/>
        </w:rPr>
        <w:t>A partir de estas preocupaciones, referentes de organizaciones indígenas y campesinas fueron convocados a compartir el taller </w:t>
      </w:r>
      <w:r w:rsidRPr="004607F4">
        <w:rPr>
          <w:rFonts w:ascii="Times New Roman" w:eastAsia="Times New Roman" w:hAnsi="Times New Roman" w:cs="Times New Roman"/>
          <w:i/>
          <w:iCs/>
          <w:kern w:val="0"/>
          <w:sz w:val="24"/>
          <w:szCs w:val="24"/>
          <w:lang w:eastAsia="es-UY"/>
          <w14:ligatures w14:val="none"/>
        </w:rPr>
        <w:t>“</w:t>
      </w:r>
      <w:r w:rsidRPr="004607F4">
        <w:rPr>
          <w:rFonts w:ascii="Times New Roman" w:eastAsia="Times New Roman" w:hAnsi="Times New Roman" w:cs="Times New Roman"/>
          <w:kern w:val="0"/>
          <w:sz w:val="24"/>
          <w:szCs w:val="24"/>
          <w:lang w:eastAsia="es-UY"/>
          <w14:ligatures w14:val="none"/>
        </w:rPr>
        <w:t>Políticas y estrategias de defensa de los territorios indígenas en Jujuy”</w:t>
      </w:r>
      <w:r w:rsidRPr="004607F4">
        <w:rPr>
          <w:rFonts w:ascii="Times New Roman" w:eastAsia="Times New Roman" w:hAnsi="Times New Roman" w:cs="Times New Roman"/>
          <w:i/>
          <w:iCs/>
          <w:kern w:val="0"/>
          <w:sz w:val="24"/>
          <w:szCs w:val="24"/>
          <w:lang w:eastAsia="es-UY"/>
          <w14:ligatures w14:val="none"/>
        </w:rPr>
        <w:t> </w:t>
      </w:r>
      <w:r w:rsidRPr="004607F4">
        <w:rPr>
          <w:rFonts w:ascii="Times New Roman" w:eastAsia="Times New Roman" w:hAnsi="Times New Roman" w:cs="Times New Roman"/>
          <w:kern w:val="0"/>
          <w:sz w:val="24"/>
          <w:szCs w:val="24"/>
          <w:lang w:eastAsia="es-UY"/>
          <w14:ligatures w14:val="none"/>
        </w:rPr>
        <w:t xml:space="preserve">con el equipo de Antropología de las Políticas de Desarrollo y Territoriales del Instituto de Ciencias Antropológicas de la Universidad de Buenos Aires (UBA). Durante el encuentro, se problematizaron los conflictos </w:t>
      </w:r>
      <w:proofErr w:type="gramStart"/>
      <w:r w:rsidRPr="004607F4">
        <w:rPr>
          <w:rFonts w:ascii="Times New Roman" w:eastAsia="Times New Roman" w:hAnsi="Times New Roman" w:cs="Times New Roman"/>
          <w:kern w:val="0"/>
          <w:sz w:val="24"/>
          <w:szCs w:val="24"/>
          <w:lang w:eastAsia="es-UY"/>
          <w14:ligatures w14:val="none"/>
        </w:rPr>
        <w:t>socio-ambientales</w:t>
      </w:r>
      <w:proofErr w:type="gramEnd"/>
      <w:r w:rsidRPr="004607F4">
        <w:rPr>
          <w:rFonts w:ascii="Times New Roman" w:eastAsia="Times New Roman" w:hAnsi="Times New Roman" w:cs="Times New Roman"/>
          <w:kern w:val="0"/>
          <w:sz w:val="24"/>
          <w:szCs w:val="24"/>
          <w:lang w:eastAsia="es-UY"/>
          <w14:ligatures w14:val="none"/>
        </w:rPr>
        <w:t xml:space="preserve"> de los territorios, poniendo el foco en las tensiones, contradicciones y retrocesos de las políticas nacionales y provinciales, los problemas ambientales y las acciones en defensa del territorio. </w:t>
      </w:r>
    </w:p>
    <w:p w14:paraId="027C30E0" w14:textId="77777777" w:rsidR="004607F4" w:rsidRPr="004607F4" w:rsidRDefault="004607F4" w:rsidP="004607F4">
      <w:pPr>
        <w:spacing w:after="0" w:line="240" w:lineRule="auto"/>
        <w:jc w:val="both"/>
        <w:rPr>
          <w:rFonts w:ascii="Times New Roman" w:eastAsia="Times New Roman" w:hAnsi="Times New Roman" w:cs="Times New Roman"/>
          <w:kern w:val="0"/>
          <w:sz w:val="24"/>
          <w:szCs w:val="24"/>
          <w:lang w:eastAsia="es-UY"/>
          <w14:ligatures w14:val="none"/>
        </w:rPr>
      </w:pPr>
      <w:r w:rsidRPr="004607F4">
        <w:rPr>
          <w:rFonts w:ascii="Times New Roman" w:eastAsia="Times New Roman" w:hAnsi="Times New Roman" w:cs="Times New Roman"/>
          <w:noProof/>
          <w:kern w:val="0"/>
          <w:sz w:val="24"/>
          <w:szCs w:val="24"/>
          <w:lang w:eastAsia="es-UY"/>
          <w14:ligatures w14:val="none"/>
        </w:rPr>
        <w:lastRenderedPageBreak/>
        <w:drawing>
          <wp:inline distT="0" distB="0" distL="0" distR="0" wp14:anchorId="1489DE64" wp14:editId="22409901">
            <wp:extent cx="5520267" cy="4140200"/>
            <wp:effectExtent l="0" t="0" r="4445" b="0"/>
            <wp:docPr id="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30467" cy="4147850"/>
                    </a:xfrm>
                    <a:prstGeom prst="rect">
                      <a:avLst/>
                    </a:prstGeom>
                    <a:noFill/>
                    <a:ln>
                      <a:noFill/>
                    </a:ln>
                  </pic:spPr>
                </pic:pic>
              </a:graphicData>
            </a:graphic>
          </wp:inline>
        </w:drawing>
      </w:r>
      <w:r w:rsidRPr="004607F4">
        <w:rPr>
          <w:rFonts w:ascii="Times New Roman" w:eastAsia="Times New Roman" w:hAnsi="Times New Roman" w:cs="Times New Roman"/>
          <w:i/>
          <w:iCs/>
          <w:kern w:val="0"/>
          <w:sz w:val="24"/>
          <w:szCs w:val="24"/>
          <w:lang w:eastAsia="es-UY"/>
          <w14:ligatures w14:val="none"/>
        </w:rPr>
        <w:t>Organizaciones indígenas y campesinas junto al Equipo de Antropología de las Políticas de Desarrollo y Territoriales. </w:t>
      </w:r>
      <w:r w:rsidRPr="004607F4">
        <w:rPr>
          <w:rFonts w:ascii="Times New Roman" w:eastAsia="Times New Roman" w:hAnsi="Times New Roman" w:cs="Times New Roman"/>
          <w:b/>
          <w:bCs/>
          <w:i/>
          <w:iCs/>
          <w:kern w:val="0"/>
          <w:sz w:val="24"/>
          <w:szCs w:val="24"/>
          <w:lang w:eastAsia="es-UY"/>
          <w14:ligatures w14:val="none"/>
        </w:rPr>
        <w:t>Foto: </w:t>
      </w:r>
      <w:r w:rsidRPr="004607F4">
        <w:rPr>
          <w:rFonts w:ascii="Times New Roman" w:eastAsia="Times New Roman" w:hAnsi="Times New Roman" w:cs="Times New Roman"/>
          <w:i/>
          <w:iCs/>
          <w:kern w:val="0"/>
          <w:sz w:val="24"/>
          <w:szCs w:val="24"/>
          <w:lang w:eastAsia="es-UY"/>
          <w14:ligatures w14:val="none"/>
        </w:rPr>
        <w:t>Instituto de Ciencias Antropológicas</w:t>
      </w:r>
    </w:p>
    <w:p w14:paraId="716BC02A" w14:textId="77777777" w:rsidR="004607F4" w:rsidRPr="004607F4" w:rsidRDefault="004607F4" w:rsidP="004607F4">
      <w:pPr>
        <w:spacing w:after="100" w:afterAutospacing="1" w:line="240" w:lineRule="auto"/>
        <w:jc w:val="both"/>
        <w:outlineLvl w:val="2"/>
        <w:rPr>
          <w:rFonts w:ascii="Arial" w:eastAsia="Times New Roman" w:hAnsi="Arial" w:cs="Arial"/>
          <w:b/>
          <w:bCs/>
          <w:color w:val="003250"/>
          <w:kern w:val="0"/>
          <w:sz w:val="27"/>
          <w:szCs w:val="27"/>
          <w:lang w:eastAsia="es-UY"/>
          <w14:ligatures w14:val="none"/>
        </w:rPr>
      </w:pPr>
      <w:r w:rsidRPr="004607F4">
        <w:rPr>
          <w:rFonts w:ascii="Arial" w:eastAsia="Times New Roman" w:hAnsi="Arial" w:cs="Arial"/>
          <w:b/>
          <w:bCs/>
          <w:color w:val="003250"/>
          <w:kern w:val="0"/>
          <w:sz w:val="27"/>
          <w:szCs w:val="27"/>
          <w:lang w:eastAsia="es-UY"/>
          <w14:ligatures w14:val="none"/>
        </w:rPr>
        <w:t>La Ley 26.160 ante el avance del mercado y la deuda estatal</w:t>
      </w:r>
    </w:p>
    <w:p w14:paraId="4DB7ED57" w14:textId="77777777" w:rsidR="004607F4" w:rsidRPr="004607F4" w:rsidRDefault="004607F4" w:rsidP="004607F4">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4607F4">
        <w:rPr>
          <w:rFonts w:ascii="Times New Roman" w:eastAsia="Times New Roman" w:hAnsi="Times New Roman" w:cs="Times New Roman"/>
          <w:kern w:val="0"/>
          <w:sz w:val="24"/>
          <w:szCs w:val="24"/>
          <w:lang w:eastAsia="es-UY"/>
          <w14:ligatures w14:val="none"/>
        </w:rPr>
        <w:t xml:space="preserve">Los territorios indígenas se están viendo tensionados por la </w:t>
      </w:r>
      <w:proofErr w:type="spellStart"/>
      <w:r w:rsidRPr="004607F4">
        <w:rPr>
          <w:rFonts w:ascii="Times New Roman" w:eastAsia="Times New Roman" w:hAnsi="Times New Roman" w:cs="Times New Roman"/>
          <w:kern w:val="0"/>
          <w:sz w:val="24"/>
          <w:szCs w:val="24"/>
          <w:lang w:eastAsia="es-UY"/>
          <w14:ligatures w14:val="none"/>
        </w:rPr>
        <w:t>reprimarización</w:t>
      </w:r>
      <w:proofErr w:type="spellEnd"/>
      <w:r w:rsidRPr="004607F4">
        <w:rPr>
          <w:rFonts w:ascii="Times New Roman" w:eastAsia="Times New Roman" w:hAnsi="Times New Roman" w:cs="Times New Roman"/>
          <w:kern w:val="0"/>
          <w:sz w:val="24"/>
          <w:szCs w:val="24"/>
          <w:lang w:eastAsia="es-UY"/>
          <w14:ligatures w14:val="none"/>
        </w:rPr>
        <w:t xml:space="preserve"> económica y el </w:t>
      </w:r>
      <w:proofErr w:type="spellStart"/>
      <w:r w:rsidRPr="004607F4">
        <w:rPr>
          <w:rFonts w:ascii="Times New Roman" w:eastAsia="Times New Roman" w:hAnsi="Times New Roman" w:cs="Times New Roman"/>
          <w:kern w:val="0"/>
          <w:sz w:val="24"/>
          <w:szCs w:val="24"/>
          <w:lang w:eastAsia="es-UY"/>
          <w14:ligatures w14:val="none"/>
        </w:rPr>
        <w:t>extractivismo</w:t>
      </w:r>
      <w:proofErr w:type="spellEnd"/>
      <w:r w:rsidRPr="004607F4">
        <w:rPr>
          <w:rFonts w:ascii="Times New Roman" w:eastAsia="Times New Roman" w:hAnsi="Times New Roman" w:cs="Times New Roman"/>
          <w:kern w:val="0"/>
          <w:sz w:val="24"/>
          <w:szCs w:val="24"/>
          <w:lang w:eastAsia="es-UY"/>
          <w14:ligatures w14:val="none"/>
        </w:rPr>
        <w:t xml:space="preserve">. El Decreto 749/2024 reglamenta el Régimen de Incentivo a las Grandes Inversiones (RIGI) y garantiza beneficios fiscales y estabilidad jurídica por 30 años a proyectos de gran escala en minería, hidrocarburos y energía. Entre noviembre de 2006 y diciembre de 2024, la Ley </w:t>
      </w:r>
      <w:proofErr w:type="spellStart"/>
      <w:r w:rsidRPr="004607F4">
        <w:rPr>
          <w:rFonts w:ascii="Times New Roman" w:eastAsia="Times New Roman" w:hAnsi="Times New Roman" w:cs="Times New Roman"/>
          <w:kern w:val="0"/>
          <w:sz w:val="24"/>
          <w:szCs w:val="24"/>
          <w:lang w:eastAsia="es-UY"/>
          <w14:ligatures w14:val="none"/>
        </w:rPr>
        <w:t>N°</w:t>
      </w:r>
      <w:proofErr w:type="spellEnd"/>
      <w:r w:rsidRPr="004607F4">
        <w:rPr>
          <w:rFonts w:ascii="Times New Roman" w:eastAsia="Times New Roman" w:hAnsi="Times New Roman" w:cs="Times New Roman"/>
          <w:kern w:val="0"/>
          <w:sz w:val="24"/>
          <w:szCs w:val="24"/>
          <w:lang w:eastAsia="es-UY"/>
          <w14:ligatures w14:val="none"/>
        </w:rPr>
        <w:t xml:space="preserve"> 26.160 de Emergencia Territorial actuó como una tregua jurídica en Argentina, suspendiendo desalojos y ordenando el relevamiento de los territorios indígenas. Sin embargo, en Jujuy, esta política se ha convertido en un laberinto de carpetas incompletas y dilaciones que dejan a los territorios en una vulnerabilidad extrema.</w:t>
      </w:r>
    </w:p>
    <w:p w14:paraId="24190A88" w14:textId="77777777" w:rsidR="004607F4" w:rsidRPr="004607F4" w:rsidRDefault="004607F4" w:rsidP="004607F4">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4607F4">
        <w:rPr>
          <w:rFonts w:ascii="Times New Roman" w:eastAsia="Times New Roman" w:hAnsi="Times New Roman" w:cs="Times New Roman"/>
          <w:kern w:val="0"/>
          <w:sz w:val="24"/>
          <w:szCs w:val="24"/>
          <w:lang w:eastAsia="es-UY"/>
          <w14:ligatures w14:val="none"/>
        </w:rPr>
        <w:t xml:space="preserve">Para David, de la comunidad de Rodero, el relevamiento ha funcionado durante casi 20 años  como un escudo frente a un Estado que los amenaza con el despojo cuando “no hay un documento oficial”. Ante la percepción de que la ley ha perdido su vigencia, David advierte que la defensa surge de la identidad y del arraigo histórico de los habitantes al territorio: “Hay que lograr que las comunidades tengan su ordenamiento y luego el título. Si no </w:t>
      </w:r>
      <w:proofErr w:type="spellStart"/>
      <w:r w:rsidRPr="004607F4">
        <w:rPr>
          <w:rFonts w:ascii="Times New Roman" w:eastAsia="Times New Roman" w:hAnsi="Times New Roman" w:cs="Times New Roman"/>
          <w:kern w:val="0"/>
          <w:sz w:val="24"/>
          <w:szCs w:val="24"/>
          <w:lang w:eastAsia="es-UY"/>
          <w14:ligatures w14:val="none"/>
        </w:rPr>
        <w:t>tenés</w:t>
      </w:r>
      <w:proofErr w:type="spellEnd"/>
      <w:r w:rsidRPr="004607F4">
        <w:rPr>
          <w:rFonts w:ascii="Times New Roman" w:eastAsia="Times New Roman" w:hAnsi="Times New Roman" w:cs="Times New Roman"/>
          <w:kern w:val="0"/>
          <w:sz w:val="24"/>
          <w:szCs w:val="24"/>
          <w:lang w:eastAsia="es-UY"/>
          <w14:ligatures w14:val="none"/>
        </w:rPr>
        <w:t xml:space="preserve"> un documento te pueden sacar la tierra”. Esta deuda estatal no constituye un hecho aislado. </w:t>
      </w:r>
    </w:p>
    <w:p w14:paraId="6FB5DAC5" w14:textId="77777777" w:rsidR="004607F4" w:rsidRPr="004607F4" w:rsidRDefault="004607F4" w:rsidP="004607F4">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4607F4">
        <w:rPr>
          <w:rFonts w:ascii="Times New Roman" w:eastAsia="Times New Roman" w:hAnsi="Times New Roman" w:cs="Times New Roman"/>
          <w:kern w:val="0"/>
          <w:sz w:val="24"/>
          <w:szCs w:val="24"/>
          <w:lang w:eastAsia="es-UY"/>
          <w14:ligatures w14:val="none"/>
        </w:rPr>
        <w:t xml:space="preserve">En 2023, la Red Puna denunció que el relevamiento jurídico-catastral nunca fue terminado. Estas dilaciones suelen profundizarse en territorios donde el suelo se valoriza para el sector privado. En </w:t>
      </w:r>
      <w:proofErr w:type="spellStart"/>
      <w:r w:rsidRPr="004607F4">
        <w:rPr>
          <w:rFonts w:ascii="Times New Roman" w:eastAsia="Times New Roman" w:hAnsi="Times New Roman" w:cs="Times New Roman"/>
          <w:kern w:val="0"/>
          <w:sz w:val="24"/>
          <w:szCs w:val="24"/>
          <w:lang w:eastAsia="es-UY"/>
          <w14:ligatures w14:val="none"/>
        </w:rPr>
        <w:t>Chucalezna</w:t>
      </w:r>
      <w:proofErr w:type="spellEnd"/>
      <w:r w:rsidRPr="004607F4">
        <w:rPr>
          <w:rFonts w:ascii="Times New Roman" w:eastAsia="Times New Roman" w:hAnsi="Times New Roman" w:cs="Times New Roman"/>
          <w:kern w:val="0"/>
          <w:sz w:val="24"/>
          <w:szCs w:val="24"/>
          <w:lang w:eastAsia="es-UY"/>
          <w14:ligatures w14:val="none"/>
        </w:rPr>
        <w:t xml:space="preserve">, Florencia relata cómo el interés de un vecino por expandir viñedos y proyectos turísticos sobre una casa familiar de 1800 terminó por </w:t>
      </w:r>
      <w:r w:rsidRPr="004607F4">
        <w:rPr>
          <w:rFonts w:ascii="Times New Roman" w:eastAsia="Times New Roman" w:hAnsi="Times New Roman" w:cs="Times New Roman"/>
          <w:kern w:val="0"/>
          <w:sz w:val="24"/>
          <w:szCs w:val="24"/>
          <w:lang w:eastAsia="es-UY"/>
          <w14:ligatures w14:val="none"/>
        </w:rPr>
        <w:lastRenderedPageBreak/>
        <w:t>bloquear la entrega de su carpeta técnica: “Por  eso no tenemos la carpeta: entró el conflicto y quedó interrumpido. ¡Pero sí hicimos el relevamiento!”. El escenario actual revela una paradoja crítica: mientras el Estado demora el reconocimiento legal, la presión de los sectores minero, vitivinícola y turístico avanzan, obligando a las comunidades a defender con el cuerpo su permanencia en el territorio.</w:t>
      </w:r>
    </w:p>
    <w:p w14:paraId="2E96AFD4" w14:textId="77777777" w:rsidR="004607F4" w:rsidRPr="004607F4" w:rsidRDefault="004607F4" w:rsidP="004607F4">
      <w:pPr>
        <w:spacing w:after="0" w:line="240" w:lineRule="auto"/>
        <w:jc w:val="both"/>
        <w:rPr>
          <w:rFonts w:ascii="Times New Roman" w:eastAsia="Times New Roman" w:hAnsi="Times New Roman" w:cs="Times New Roman"/>
          <w:kern w:val="0"/>
          <w:sz w:val="24"/>
          <w:szCs w:val="24"/>
          <w:lang w:eastAsia="es-UY"/>
          <w14:ligatures w14:val="none"/>
        </w:rPr>
      </w:pPr>
      <w:r w:rsidRPr="004607F4">
        <w:rPr>
          <w:rFonts w:ascii="Times New Roman" w:eastAsia="Times New Roman" w:hAnsi="Times New Roman" w:cs="Times New Roman"/>
          <w:noProof/>
          <w:kern w:val="0"/>
          <w:sz w:val="24"/>
          <w:szCs w:val="24"/>
          <w:lang w:eastAsia="es-UY"/>
          <w14:ligatures w14:val="none"/>
        </w:rPr>
        <w:drawing>
          <wp:inline distT="0" distB="0" distL="0" distR="0" wp14:anchorId="1C64E57C" wp14:editId="1FE3E444">
            <wp:extent cx="5264150" cy="7018867"/>
            <wp:effectExtent l="0" t="0" r="0" b="0"/>
            <wp:docPr id="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1161" cy="7028215"/>
                    </a:xfrm>
                    <a:prstGeom prst="rect">
                      <a:avLst/>
                    </a:prstGeom>
                    <a:noFill/>
                    <a:ln>
                      <a:noFill/>
                    </a:ln>
                  </pic:spPr>
                </pic:pic>
              </a:graphicData>
            </a:graphic>
          </wp:inline>
        </w:drawing>
      </w:r>
      <w:r w:rsidRPr="004607F4">
        <w:rPr>
          <w:rFonts w:ascii="Times New Roman" w:eastAsia="Times New Roman" w:hAnsi="Times New Roman" w:cs="Times New Roman"/>
          <w:i/>
          <w:iCs/>
          <w:kern w:val="0"/>
          <w:sz w:val="24"/>
          <w:szCs w:val="24"/>
          <w:lang w:eastAsia="es-UY"/>
          <w14:ligatures w14:val="none"/>
        </w:rPr>
        <w:t>La agricultura familiar de las comunidades indígenas de Jujuy resiste el avance de la industria vitivinícola, el cannabis medicinal y los parques de litio. </w:t>
      </w:r>
      <w:r w:rsidRPr="004607F4">
        <w:rPr>
          <w:rFonts w:ascii="Times New Roman" w:eastAsia="Times New Roman" w:hAnsi="Times New Roman" w:cs="Times New Roman"/>
          <w:b/>
          <w:bCs/>
          <w:i/>
          <w:iCs/>
          <w:kern w:val="0"/>
          <w:sz w:val="24"/>
          <w:szCs w:val="24"/>
          <w:lang w:eastAsia="es-UY"/>
          <w14:ligatures w14:val="none"/>
        </w:rPr>
        <w:t>Foto: </w:t>
      </w:r>
      <w:r w:rsidRPr="004607F4">
        <w:rPr>
          <w:rFonts w:ascii="Times New Roman" w:eastAsia="Times New Roman" w:hAnsi="Times New Roman" w:cs="Times New Roman"/>
          <w:i/>
          <w:iCs/>
          <w:kern w:val="0"/>
          <w:sz w:val="24"/>
          <w:szCs w:val="24"/>
          <w:lang w:eastAsia="es-UY"/>
          <w14:ligatures w14:val="none"/>
        </w:rPr>
        <w:t>Federica Peci</w:t>
      </w:r>
    </w:p>
    <w:p w14:paraId="2ED7B912" w14:textId="77777777" w:rsidR="004607F4" w:rsidRDefault="004607F4" w:rsidP="004607F4">
      <w:pPr>
        <w:spacing w:after="100" w:afterAutospacing="1" w:line="240" w:lineRule="auto"/>
        <w:jc w:val="both"/>
        <w:outlineLvl w:val="2"/>
        <w:rPr>
          <w:rFonts w:ascii="Arial" w:eastAsia="Times New Roman" w:hAnsi="Arial" w:cs="Arial"/>
          <w:b/>
          <w:bCs/>
          <w:color w:val="003250"/>
          <w:kern w:val="0"/>
          <w:sz w:val="27"/>
          <w:szCs w:val="27"/>
          <w:lang w:eastAsia="es-UY"/>
          <w14:ligatures w14:val="none"/>
        </w:rPr>
      </w:pPr>
    </w:p>
    <w:p w14:paraId="65E42005" w14:textId="734B67BD" w:rsidR="004607F4" w:rsidRPr="004607F4" w:rsidRDefault="004607F4" w:rsidP="004607F4">
      <w:pPr>
        <w:spacing w:after="100" w:afterAutospacing="1" w:line="240" w:lineRule="auto"/>
        <w:jc w:val="both"/>
        <w:outlineLvl w:val="2"/>
        <w:rPr>
          <w:rFonts w:ascii="Arial" w:eastAsia="Times New Roman" w:hAnsi="Arial" w:cs="Arial"/>
          <w:b/>
          <w:bCs/>
          <w:color w:val="003250"/>
          <w:kern w:val="0"/>
          <w:sz w:val="27"/>
          <w:szCs w:val="27"/>
          <w:lang w:eastAsia="es-UY"/>
          <w14:ligatures w14:val="none"/>
        </w:rPr>
      </w:pPr>
      <w:r w:rsidRPr="004607F4">
        <w:rPr>
          <w:rFonts w:ascii="Arial" w:eastAsia="Times New Roman" w:hAnsi="Arial" w:cs="Arial"/>
          <w:b/>
          <w:bCs/>
          <w:color w:val="003250"/>
          <w:kern w:val="0"/>
          <w:sz w:val="27"/>
          <w:szCs w:val="27"/>
          <w:lang w:eastAsia="es-UY"/>
          <w14:ligatures w14:val="none"/>
        </w:rPr>
        <w:lastRenderedPageBreak/>
        <w:t>La Consulta Previa, Libre e Informada como simulacro</w:t>
      </w:r>
    </w:p>
    <w:p w14:paraId="7BAD4F02" w14:textId="77777777" w:rsidR="004607F4" w:rsidRPr="004607F4" w:rsidRDefault="004607F4" w:rsidP="004607F4">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4607F4">
        <w:rPr>
          <w:rFonts w:ascii="Times New Roman" w:eastAsia="Times New Roman" w:hAnsi="Times New Roman" w:cs="Times New Roman"/>
          <w:kern w:val="0"/>
          <w:sz w:val="24"/>
          <w:szCs w:val="24"/>
          <w:lang w:eastAsia="es-UY"/>
          <w14:ligatures w14:val="none"/>
        </w:rPr>
        <w:t>Argentina posee un sólido blindaje jurídico para los Pueblos Originarios, pero carece de leyes operativas sobre propiedad comunitaria y consulta previa. Esta orfandad legislativa convierte al Convenio 169 de la OIT en una herramienta de resistencia solitaria. En teoría, la Consulta Previa Libre e Informada debería otorgar un rol protagónico a las comunidades, pero en la práctica se ha transformado en un simulacro administrativo que las empresas y el Estado suelen omitir o delegar en manos privadas.</w:t>
      </w:r>
    </w:p>
    <w:p w14:paraId="42BCEED8" w14:textId="77777777" w:rsidR="004607F4" w:rsidRPr="004607F4" w:rsidRDefault="004607F4" w:rsidP="004607F4">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4607F4">
        <w:rPr>
          <w:rFonts w:ascii="Times New Roman" w:eastAsia="Times New Roman" w:hAnsi="Times New Roman" w:cs="Times New Roman"/>
          <w:kern w:val="0"/>
          <w:sz w:val="24"/>
          <w:szCs w:val="24"/>
          <w:lang w:eastAsia="es-UY"/>
          <w14:ligatures w14:val="none"/>
        </w:rPr>
        <w:t>Para los asistentes del taller, el diagnóstico es claro: el Estado provincial actúa bajo una lógica de “presencia selectiva”. Se ausenta al momento de garantizar que la consulta sea legítima, pero interviene con celeridad para autorizar exploraciones mineras. Esta dinámica repone un imaginario colonial en el que territorio indígena es narrado como un “espacio sacrificable” en nombre del crecimiento económico, reforzando una discriminación que despoja de valor al conocimiento y la autonomía comunitaria.</w:t>
      </w:r>
    </w:p>
    <w:p w14:paraId="6523BCB1" w14:textId="77777777" w:rsidR="004607F4" w:rsidRPr="004607F4" w:rsidRDefault="004607F4" w:rsidP="004607F4">
      <w:pPr>
        <w:spacing w:before="100" w:beforeAutospacing="1" w:after="100" w:afterAutospacing="1" w:line="240" w:lineRule="auto"/>
        <w:jc w:val="both"/>
        <w:rPr>
          <w:rFonts w:ascii="Times New Roman" w:eastAsia="Times New Roman" w:hAnsi="Times New Roman" w:cs="Times New Roman"/>
          <w:i/>
          <w:iCs/>
          <w:color w:val="2B7AAA"/>
          <w:kern w:val="0"/>
          <w:sz w:val="24"/>
          <w:szCs w:val="24"/>
          <w:lang w:eastAsia="es-UY"/>
          <w14:ligatures w14:val="none"/>
        </w:rPr>
      </w:pPr>
      <w:r w:rsidRPr="004607F4">
        <w:rPr>
          <w:rFonts w:ascii="Times New Roman" w:eastAsia="Times New Roman" w:hAnsi="Times New Roman" w:cs="Times New Roman"/>
          <w:i/>
          <w:iCs/>
          <w:color w:val="2B7AAA"/>
          <w:kern w:val="0"/>
          <w:sz w:val="24"/>
          <w:szCs w:val="24"/>
          <w:lang w:eastAsia="es-UY"/>
          <w14:ligatures w14:val="none"/>
        </w:rPr>
        <w:t xml:space="preserve">Las comunidades de Salinas Grandes y la Laguna de </w:t>
      </w:r>
      <w:proofErr w:type="spellStart"/>
      <w:r w:rsidRPr="004607F4">
        <w:rPr>
          <w:rFonts w:ascii="Times New Roman" w:eastAsia="Times New Roman" w:hAnsi="Times New Roman" w:cs="Times New Roman"/>
          <w:i/>
          <w:iCs/>
          <w:color w:val="2B7AAA"/>
          <w:kern w:val="0"/>
          <w:sz w:val="24"/>
          <w:szCs w:val="24"/>
          <w:lang w:eastAsia="es-UY"/>
          <w14:ligatures w14:val="none"/>
        </w:rPr>
        <w:t>Guayatayoc</w:t>
      </w:r>
      <w:proofErr w:type="spellEnd"/>
      <w:r w:rsidRPr="004607F4">
        <w:rPr>
          <w:rFonts w:ascii="Times New Roman" w:eastAsia="Times New Roman" w:hAnsi="Times New Roman" w:cs="Times New Roman"/>
          <w:i/>
          <w:iCs/>
          <w:color w:val="2B7AAA"/>
          <w:kern w:val="0"/>
          <w:sz w:val="24"/>
          <w:szCs w:val="24"/>
          <w:lang w:eastAsia="es-UY"/>
          <w14:ligatures w14:val="none"/>
        </w:rPr>
        <w:t xml:space="preserve"> han creado su propio protocolo biocultural: el Kachi Yupi (Huellas de la Sal). Este documento narra el derecho sagrado al agua y establece que las decisiones deben pasar por la Asamblea General de la Cuenca.</w:t>
      </w:r>
    </w:p>
    <w:p w14:paraId="270AC58B" w14:textId="77777777" w:rsidR="004607F4" w:rsidRPr="004607F4" w:rsidRDefault="004607F4" w:rsidP="004607F4">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4607F4">
        <w:rPr>
          <w:rFonts w:ascii="Times New Roman" w:eastAsia="Times New Roman" w:hAnsi="Times New Roman" w:cs="Times New Roman"/>
          <w:kern w:val="0"/>
          <w:sz w:val="24"/>
          <w:szCs w:val="24"/>
          <w:lang w:eastAsia="es-UY"/>
          <w14:ligatures w14:val="none"/>
        </w:rPr>
        <w:t>Por su parte, los estudios de impacto ambiental son financiados por las mismas empresas y las comunidades los perciben como documentos diseñados para respaldar intereses externos. La consulta suele ejecutarse rompiendo las lógicas locales: se convocan reuniones fragmentadas, se ignoran los tiempos de las asambleas y se ofrece información escasa. Así resume Daniel este sentimiento de indefensión: “Decimos que somos dueños de todo, pero después se declara tal lugar como Patrimonio de la Humanidad y no se nos consulta nada. Nadie nos defiende”.</w:t>
      </w:r>
    </w:p>
    <w:p w14:paraId="634926E8" w14:textId="77777777" w:rsidR="004607F4" w:rsidRPr="004607F4" w:rsidRDefault="004607F4" w:rsidP="004607F4">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4607F4">
        <w:rPr>
          <w:rFonts w:ascii="Times New Roman" w:eastAsia="Times New Roman" w:hAnsi="Times New Roman" w:cs="Times New Roman"/>
          <w:kern w:val="0"/>
          <w:sz w:val="24"/>
          <w:szCs w:val="24"/>
          <w:lang w:eastAsia="es-UY"/>
          <w14:ligatures w14:val="none"/>
        </w:rPr>
        <w:t xml:space="preserve">Ante el vacío estatal, las comunidades de Salinas Grandes y la Laguna de </w:t>
      </w:r>
      <w:proofErr w:type="spellStart"/>
      <w:r w:rsidRPr="004607F4">
        <w:rPr>
          <w:rFonts w:ascii="Times New Roman" w:eastAsia="Times New Roman" w:hAnsi="Times New Roman" w:cs="Times New Roman"/>
          <w:kern w:val="0"/>
          <w:sz w:val="24"/>
          <w:szCs w:val="24"/>
          <w:lang w:eastAsia="es-UY"/>
          <w14:ligatures w14:val="none"/>
        </w:rPr>
        <w:t>Guayatayoc</w:t>
      </w:r>
      <w:proofErr w:type="spellEnd"/>
      <w:r w:rsidRPr="004607F4">
        <w:rPr>
          <w:rFonts w:ascii="Times New Roman" w:eastAsia="Times New Roman" w:hAnsi="Times New Roman" w:cs="Times New Roman"/>
          <w:kern w:val="0"/>
          <w:sz w:val="24"/>
          <w:szCs w:val="24"/>
          <w:lang w:eastAsia="es-UY"/>
          <w14:ligatures w14:val="none"/>
        </w:rPr>
        <w:t xml:space="preserve"> han creado su propio protocolo biocultural: el </w:t>
      </w:r>
      <w:r w:rsidRPr="004607F4">
        <w:rPr>
          <w:rFonts w:ascii="Times New Roman" w:eastAsia="Times New Roman" w:hAnsi="Times New Roman" w:cs="Times New Roman"/>
          <w:i/>
          <w:iCs/>
          <w:kern w:val="0"/>
          <w:sz w:val="24"/>
          <w:szCs w:val="24"/>
          <w:lang w:eastAsia="es-UY"/>
          <w14:ligatures w14:val="none"/>
        </w:rPr>
        <w:t>Kachi Yupi </w:t>
      </w:r>
      <w:r w:rsidRPr="004607F4">
        <w:rPr>
          <w:rFonts w:ascii="Times New Roman" w:eastAsia="Times New Roman" w:hAnsi="Times New Roman" w:cs="Times New Roman"/>
          <w:kern w:val="0"/>
          <w:sz w:val="24"/>
          <w:szCs w:val="24"/>
          <w:lang w:eastAsia="es-UY"/>
          <w14:ligatures w14:val="none"/>
        </w:rPr>
        <w:t>(Huellas de la Sal). Este documento narra el derecho sagrado al agua y establece que las decisiones deben pasar por la Asamblea General de la Cuenca. Sin embargo, el Decreto 7751/2023 reduce la consulta a una “reunión informativa” entre las empresas y las comunidades. Para Flavia, presidenta de Santuario Tres Pozos, el Estado ignora el protocolo comunitario: “Recibirlos es considerado como dar el consentimiento. Todo es a cambio de negociar rápidamente y por unas cositas: un proyector, un grupo electrógeno”.</w:t>
      </w:r>
    </w:p>
    <w:p w14:paraId="08668214" w14:textId="77777777" w:rsidR="004607F4" w:rsidRPr="004607F4" w:rsidRDefault="004607F4" w:rsidP="004607F4">
      <w:pPr>
        <w:spacing w:after="0" w:line="240" w:lineRule="auto"/>
        <w:jc w:val="both"/>
        <w:rPr>
          <w:rFonts w:ascii="Times New Roman" w:eastAsia="Times New Roman" w:hAnsi="Times New Roman" w:cs="Times New Roman"/>
          <w:kern w:val="0"/>
          <w:sz w:val="24"/>
          <w:szCs w:val="24"/>
          <w:lang w:eastAsia="es-UY"/>
          <w14:ligatures w14:val="none"/>
        </w:rPr>
      </w:pPr>
      <w:r w:rsidRPr="004607F4">
        <w:rPr>
          <w:rFonts w:ascii="Times New Roman" w:eastAsia="Times New Roman" w:hAnsi="Times New Roman" w:cs="Times New Roman"/>
          <w:noProof/>
          <w:kern w:val="0"/>
          <w:sz w:val="24"/>
          <w:szCs w:val="24"/>
          <w:lang w:eastAsia="es-UY"/>
          <w14:ligatures w14:val="none"/>
        </w:rPr>
        <w:lastRenderedPageBreak/>
        <w:drawing>
          <wp:inline distT="0" distB="0" distL="0" distR="0" wp14:anchorId="3D73FB7B" wp14:editId="2ADC1E7A">
            <wp:extent cx="5427133" cy="4070350"/>
            <wp:effectExtent l="0" t="0" r="2540" b="6350"/>
            <wp:docPr id="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37284" cy="4077963"/>
                    </a:xfrm>
                    <a:prstGeom prst="rect">
                      <a:avLst/>
                    </a:prstGeom>
                    <a:noFill/>
                    <a:ln>
                      <a:noFill/>
                    </a:ln>
                  </pic:spPr>
                </pic:pic>
              </a:graphicData>
            </a:graphic>
          </wp:inline>
        </w:drawing>
      </w:r>
      <w:r w:rsidRPr="004607F4">
        <w:rPr>
          <w:rFonts w:ascii="Times New Roman" w:eastAsia="Times New Roman" w:hAnsi="Times New Roman" w:cs="Times New Roman"/>
          <w:i/>
          <w:iCs/>
          <w:kern w:val="0"/>
          <w:sz w:val="24"/>
          <w:szCs w:val="24"/>
          <w:lang w:eastAsia="es-UY"/>
          <w14:ligatures w14:val="none"/>
        </w:rPr>
        <w:t xml:space="preserve">“Fuera minera”. Ante la presión del </w:t>
      </w:r>
      <w:proofErr w:type="spellStart"/>
      <w:r w:rsidRPr="004607F4">
        <w:rPr>
          <w:rFonts w:ascii="Times New Roman" w:eastAsia="Times New Roman" w:hAnsi="Times New Roman" w:cs="Times New Roman"/>
          <w:i/>
          <w:iCs/>
          <w:kern w:val="0"/>
          <w:sz w:val="24"/>
          <w:szCs w:val="24"/>
          <w:lang w:eastAsia="es-UY"/>
          <w14:ligatures w14:val="none"/>
        </w:rPr>
        <w:t>extractivismo</w:t>
      </w:r>
      <w:proofErr w:type="spellEnd"/>
      <w:r w:rsidRPr="004607F4">
        <w:rPr>
          <w:rFonts w:ascii="Times New Roman" w:eastAsia="Times New Roman" w:hAnsi="Times New Roman" w:cs="Times New Roman"/>
          <w:i/>
          <w:iCs/>
          <w:kern w:val="0"/>
          <w:sz w:val="24"/>
          <w:szCs w:val="24"/>
          <w:lang w:eastAsia="es-UY"/>
          <w14:ligatures w14:val="none"/>
        </w:rPr>
        <w:t xml:space="preserve"> sobre sus territorios, las comunidades se ven obligadas a poner el cuerpo en las rutas. </w:t>
      </w:r>
      <w:r w:rsidRPr="004607F4">
        <w:rPr>
          <w:rFonts w:ascii="Times New Roman" w:eastAsia="Times New Roman" w:hAnsi="Times New Roman" w:cs="Times New Roman"/>
          <w:b/>
          <w:bCs/>
          <w:i/>
          <w:iCs/>
          <w:kern w:val="0"/>
          <w:sz w:val="24"/>
          <w:szCs w:val="24"/>
          <w:lang w:eastAsia="es-UY"/>
          <w14:ligatures w14:val="none"/>
        </w:rPr>
        <w:t>Foto: </w:t>
      </w:r>
      <w:r w:rsidRPr="004607F4">
        <w:rPr>
          <w:rFonts w:ascii="Times New Roman" w:eastAsia="Times New Roman" w:hAnsi="Times New Roman" w:cs="Times New Roman"/>
          <w:i/>
          <w:iCs/>
          <w:kern w:val="0"/>
          <w:sz w:val="24"/>
          <w:szCs w:val="24"/>
          <w:lang w:eastAsia="es-UY"/>
          <w14:ligatures w14:val="none"/>
        </w:rPr>
        <w:t>Federica Peci</w:t>
      </w:r>
    </w:p>
    <w:p w14:paraId="4BB02F43" w14:textId="77777777" w:rsidR="004607F4" w:rsidRDefault="004607F4" w:rsidP="004607F4">
      <w:pPr>
        <w:spacing w:after="100" w:afterAutospacing="1" w:line="240" w:lineRule="auto"/>
        <w:jc w:val="both"/>
        <w:outlineLvl w:val="2"/>
        <w:rPr>
          <w:rFonts w:ascii="Arial" w:eastAsia="Times New Roman" w:hAnsi="Arial" w:cs="Arial"/>
          <w:b/>
          <w:bCs/>
          <w:color w:val="003250"/>
          <w:kern w:val="0"/>
          <w:sz w:val="27"/>
          <w:szCs w:val="27"/>
          <w:lang w:eastAsia="es-UY"/>
          <w14:ligatures w14:val="none"/>
        </w:rPr>
      </w:pPr>
    </w:p>
    <w:p w14:paraId="5F98ED0A" w14:textId="24E3A150" w:rsidR="004607F4" w:rsidRPr="004607F4" w:rsidRDefault="004607F4" w:rsidP="004607F4">
      <w:pPr>
        <w:spacing w:after="100" w:afterAutospacing="1" w:line="240" w:lineRule="auto"/>
        <w:jc w:val="both"/>
        <w:outlineLvl w:val="2"/>
        <w:rPr>
          <w:rFonts w:ascii="Arial" w:eastAsia="Times New Roman" w:hAnsi="Arial" w:cs="Arial"/>
          <w:b/>
          <w:bCs/>
          <w:color w:val="003250"/>
          <w:kern w:val="0"/>
          <w:sz w:val="27"/>
          <w:szCs w:val="27"/>
          <w:lang w:eastAsia="es-UY"/>
          <w14:ligatures w14:val="none"/>
        </w:rPr>
      </w:pPr>
      <w:r w:rsidRPr="004607F4">
        <w:rPr>
          <w:rFonts w:ascii="Arial" w:eastAsia="Times New Roman" w:hAnsi="Arial" w:cs="Arial"/>
          <w:b/>
          <w:bCs/>
          <w:color w:val="003250"/>
          <w:kern w:val="0"/>
          <w:sz w:val="27"/>
          <w:szCs w:val="27"/>
          <w:lang w:eastAsia="es-UY"/>
          <w14:ligatures w14:val="none"/>
        </w:rPr>
        <w:t>Postales del despojo: el Estado, las mineras y la industria vitivinícola</w:t>
      </w:r>
    </w:p>
    <w:p w14:paraId="08CA862F" w14:textId="77777777" w:rsidR="004607F4" w:rsidRPr="004607F4" w:rsidRDefault="004607F4" w:rsidP="004607F4">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4607F4">
        <w:rPr>
          <w:rFonts w:ascii="Times New Roman" w:eastAsia="Times New Roman" w:hAnsi="Times New Roman" w:cs="Times New Roman"/>
          <w:kern w:val="0"/>
          <w:sz w:val="24"/>
          <w:szCs w:val="24"/>
          <w:lang w:eastAsia="es-UY"/>
          <w14:ligatures w14:val="none"/>
        </w:rPr>
        <w:t>La conflictividad socioambiental en Jujuy ha dejado de ser una disputa por parcelas para convertirse en una lucha por la supervivencia. En un escenario donde el agua y la tierra son acechados por intereses extractivos, inmobiliarios y estatales, las comunidades indígenas despliegan estrategias que van desde la diplomacia jurídica hasta la acción directa y movilización en el territorio. “El Estado entregó la tierra a las multinacionales con nosotros adentro”, sintetiza Débora, de la comunidad Casa Grande. </w:t>
      </w:r>
    </w:p>
    <w:p w14:paraId="5C8A5B9D" w14:textId="77777777" w:rsidR="004607F4" w:rsidRPr="004607F4" w:rsidRDefault="004607F4" w:rsidP="004607F4">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4607F4">
        <w:rPr>
          <w:rFonts w:ascii="Times New Roman" w:eastAsia="Times New Roman" w:hAnsi="Times New Roman" w:cs="Times New Roman"/>
          <w:kern w:val="0"/>
          <w:sz w:val="24"/>
          <w:szCs w:val="24"/>
          <w:lang w:eastAsia="es-UY"/>
          <w14:ligatures w14:val="none"/>
        </w:rPr>
        <w:t xml:space="preserve">En la zona controlada por la minera El Aguilar, los efectos del </w:t>
      </w:r>
      <w:proofErr w:type="spellStart"/>
      <w:r w:rsidRPr="004607F4">
        <w:rPr>
          <w:rFonts w:ascii="Times New Roman" w:eastAsia="Times New Roman" w:hAnsi="Times New Roman" w:cs="Times New Roman"/>
          <w:kern w:val="0"/>
          <w:sz w:val="24"/>
          <w:szCs w:val="24"/>
          <w:lang w:eastAsia="es-UY"/>
          <w14:ligatures w14:val="none"/>
        </w:rPr>
        <w:t>extractivismo</w:t>
      </w:r>
      <w:proofErr w:type="spellEnd"/>
      <w:r w:rsidRPr="004607F4">
        <w:rPr>
          <w:rFonts w:ascii="Times New Roman" w:eastAsia="Times New Roman" w:hAnsi="Times New Roman" w:cs="Times New Roman"/>
          <w:kern w:val="0"/>
          <w:sz w:val="24"/>
          <w:szCs w:val="24"/>
          <w:lang w:eastAsia="es-UY"/>
          <w14:ligatures w14:val="none"/>
        </w:rPr>
        <w:t xml:space="preserve"> son innegables: diques de cola con desechos tóxicos y una escasez hídrica que compromete la vida. Anabella, de Abra Pampa, denuncia un “genocidio silencioso” que incluye la contaminación con plomo que afecta a </w:t>
      </w:r>
      <w:proofErr w:type="gramStart"/>
      <w:r w:rsidRPr="004607F4">
        <w:rPr>
          <w:rFonts w:ascii="Times New Roman" w:eastAsia="Times New Roman" w:hAnsi="Times New Roman" w:cs="Times New Roman"/>
          <w:kern w:val="0"/>
          <w:sz w:val="24"/>
          <w:szCs w:val="24"/>
          <w:lang w:eastAsia="es-UY"/>
          <w14:ligatures w14:val="none"/>
        </w:rPr>
        <w:t>niños y niñas</w:t>
      </w:r>
      <w:proofErr w:type="gramEnd"/>
      <w:r w:rsidRPr="004607F4">
        <w:rPr>
          <w:rFonts w:ascii="Times New Roman" w:eastAsia="Times New Roman" w:hAnsi="Times New Roman" w:cs="Times New Roman"/>
          <w:kern w:val="0"/>
          <w:sz w:val="24"/>
          <w:szCs w:val="24"/>
          <w:lang w:eastAsia="es-UY"/>
          <w14:ligatures w14:val="none"/>
        </w:rPr>
        <w:t xml:space="preserve"> en un sistema sanitario desmantelado. Griselda, de Finca El Pongo, relata cómo el modelo de agricultura familiar de tres generaciones fue arrasado por emprendimientos de cannabis medicinal y parques industriales de litio. Aquí, el Estado no está ausente, sino que promueve los desplazamientos: la policía custodia la casa de Griselda mientras las máquinas rompen el suelo y </w:t>
      </w:r>
      <w:proofErr w:type="gramStart"/>
      <w:r w:rsidRPr="004607F4">
        <w:rPr>
          <w:rFonts w:ascii="Times New Roman" w:eastAsia="Times New Roman" w:hAnsi="Times New Roman" w:cs="Times New Roman"/>
          <w:kern w:val="0"/>
          <w:sz w:val="24"/>
          <w:szCs w:val="24"/>
          <w:lang w:eastAsia="es-UY"/>
          <w14:ligatures w14:val="none"/>
        </w:rPr>
        <w:t>les</w:t>
      </w:r>
      <w:proofErr w:type="gramEnd"/>
      <w:r w:rsidRPr="004607F4">
        <w:rPr>
          <w:rFonts w:ascii="Times New Roman" w:eastAsia="Times New Roman" w:hAnsi="Times New Roman" w:cs="Times New Roman"/>
          <w:kern w:val="0"/>
          <w:sz w:val="24"/>
          <w:szCs w:val="24"/>
          <w:lang w:eastAsia="es-UY"/>
          <w14:ligatures w14:val="none"/>
        </w:rPr>
        <w:t xml:space="preserve"> niegan el acceso al agua de riego.</w:t>
      </w:r>
    </w:p>
    <w:p w14:paraId="42E98C1F" w14:textId="77777777" w:rsidR="004607F4" w:rsidRPr="004607F4" w:rsidRDefault="004607F4" w:rsidP="004607F4">
      <w:pPr>
        <w:spacing w:before="100" w:beforeAutospacing="1" w:after="100" w:afterAutospacing="1" w:line="240" w:lineRule="auto"/>
        <w:jc w:val="both"/>
        <w:rPr>
          <w:rFonts w:ascii="Times New Roman" w:eastAsia="Times New Roman" w:hAnsi="Times New Roman" w:cs="Times New Roman"/>
          <w:i/>
          <w:iCs/>
          <w:color w:val="2B7AAA"/>
          <w:kern w:val="0"/>
          <w:sz w:val="24"/>
          <w:szCs w:val="24"/>
          <w:lang w:eastAsia="es-UY"/>
          <w14:ligatures w14:val="none"/>
        </w:rPr>
      </w:pPr>
      <w:r w:rsidRPr="004607F4">
        <w:rPr>
          <w:rFonts w:ascii="Times New Roman" w:eastAsia="Times New Roman" w:hAnsi="Times New Roman" w:cs="Times New Roman"/>
          <w:i/>
          <w:iCs/>
          <w:color w:val="2B7AAA"/>
          <w:kern w:val="0"/>
          <w:sz w:val="24"/>
          <w:szCs w:val="24"/>
          <w:lang w:eastAsia="es-UY"/>
          <w14:ligatures w14:val="none"/>
        </w:rPr>
        <w:t xml:space="preserve">Cuando las instituciones comunitarias se ven cooptadas por intereses empresariales, la respuesta es la fisión: comunidades que se dividen para crear nuevas unidades (como es el caso de </w:t>
      </w:r>
      <w:proofErr w:type="spellStart"/>
      <w:r w:rsidRPr="004607F4">
        <w:rPr>
          <w:rFonts w:ascii="Times New Roman" w:eastAsia="Times New Roman" w:hAnsi="Times New Roman" w:cs="Times New Roman"/>
          <w:i/>
          <w:iCs/>
          <w:color w:val="2B7AAA"/>
          <w:kern w:val="0"/>
          <w:sz w:val="24"/>
          <w:szCs w:val="24"/>
          <w:lang w:eastAsia="es-UY"/>
          <w14:ligatures w14:val="none"/>
        </w:rPr>
        <w:t>Antigal</w:t>
      </w:r>
      <w:proofErr w:type="spellEnd"/>
      <w:r w:rsidRPr="004607F4">
        <w:rPr>
          <w:rFonts w:ascii="Times New Roman" w:eastAsia="Times New Roman" w:hAnsi="Times New Roman" w:cs="Times New Roman"/>
          <w:i/>
          <w:iCs/>
          <w:color w:val="2B7AAA"/>
          <w:kern w:val="0"/>
          <w:sz w:val="24"/>
          <w:szCs w:val="24"/>
          <w:lang w:eastAsia="es-UY"/>
          <w14:ligatures w14:val="none"/>
        </w:rPr>
        <w:t xml:space="preserve"> de Moya) y así recuperar la autonomía de lucha.</w:t>
      </w:r>
    </w:p>
    <w:p w14:paraId="14B1654B" w14:textId="77777777" w:rsidR="004607F4" w:rsidRPr="004607F4" w:rsidRDefault="004607F4" w:rsidP="004607F4">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4607F4">
        <w:rPr>
          <w:rFonts w:ascii="Times New Roman" w:eastAsia="Times New Roman" w:hAnsi="Times New Roman" w:cs="Times New Roman"/>
          <w:kern w:val="0"/>
          <w:sz w:val="24"/>
          <w:szCs w:val="24"/>
          <w:lang w:eastAsia="es-UY"/>
          <w14:ligatures w14:val="none"/>
        </w:rPr>
        <w:lastRenderedPageBreak/>
        <w:t xml:space="preserve">En la Quebrada de Humahuaca, la presión inmobiliaria disfrazada de “progreso vitivinícola” genera nuevas heridas. En la comunidad de </w:t>
      </w:r>
      <w:proofErr w:type="spellStart"/>
      <w:r w:rsidRPr="004607F4">
        <w:rPr>
          <w:rFonts w:ascii="Times New Roman" w:eastAsia="Times New Roman" w:hAnsi="Times New Roman" w:cs="Times New Roman"/>
          <w:kern w:val="0"/>
          <w:sz w:val="24"/>
          <w:szCs w:val="24"/>
          <w:lang w:eastAsia="es-UY"/>
          <w14:ligatures w14:val="none"/>
        </w:rPr>
        <w:t>Chucalezna</w:t>
      </w:r>
      <w:proofErr w:type="spellEnd"/>
      <w:r w:rsidRPr="004607F4">
        <w:rPr>
          <w:rFonts w:ascii="Times New Roman" w:eastAsia="Times New Roman" w:hAnsi="Times New Roman" w:cs="Times New Roman"/>
          <w:kern w:val="0"/>
          <w:sz w:val="24"/>
          <w:szCs w:val="24"/>
          <w:lang w:eastAsia="es-UY"/>
          <w14:ligatures w14:val="none"/>
        </w:rPr>
        <w:t>, el avance de las bodegas y los loteos turísticos ha modificado el cauce de los ríos: estas transformaciones topográficas están provocando aludes que entierran sembradíos y casas. Florencia y Amalia denuncian la privatización de ojos de agua comunitarios y destacan la desigualdad en las herramientas que se emplean: “Nos quieren quitar el agua. Nosotros hicimos el trabajo a pala y pico; el empresario lo hace a máquina”.</w:t>
      </w:r>
    </w:p>
    <w:p w14:paraId="7487B487" w14:textId="77777777" w:rsidR="004607F4" w:rsidRPr="004607F4" w:rsidRDefault="004607F4" w:rsidP="004607F4">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4607F4">
        <w:rPr>
          <w:rFonts w:ascii="Times New Roman" w:eastAsia="Times New Roman" w:hAnsi="Times New Roman" w:cs="Times New Roman"/>
          <w:kern w:val="0"/>
          <w:sz w:val="24"/>
          <w:szCs w:val="24"/>
          <w:lang w:eastAsia="es-UY"/>
          <w14:ligatures w14:val="none"/>
        </w:rPr>
        <w:t xml:space="preserve">Esta presión inmobiliaria sobre los territorios y comunidades indígenas ha fracturado incluso los lazos internos entre parientes y vecinos. Cuando las instituciones comunitarias se ven cooptadas por intereses empresariales, como el caso de los delegados que a la vez son empleados de las bodegas, la respuesta es la fisión: comunidades que se dividen para crear nuevas unidades (como es el caso de </w:t>
      </w:r>
      <w:proofErr w:type="spellStart"/>
      <w:r w:rsidRPr="004607F4">
        <w:rPr>
          <w:rFonts w:ascii="Times New Roman" w:eastAsia="Times New Roman" w:hAnsi="Times New Roman" w:cs="Times New Roman"/>
          <w:kern w:val="0"/>
          <w:sz w:val="24"/>
          <w:szCs w:val="24"/>
          <w:lang w:eastAsia="es-UY"/>
          <w14:ligatures w14:val="none"/>
        </w:rPr>
        <w:t>Antigal</w:t>
      </w:r>
      <w:proofErr w:type="spellEnd"/>
      <w:r w:rsidRPr="004607F4">
        <w:rPr>
          <w:rFonts w:ascii="Times New Roman" w:eastAsia="Times New Roman" w:hAnsi="Times New Roman" w:cs="Times New Roman"/>
          <w:kern w:val="0"/>
          <w:sz w:val="24"/>
          <w:szCs w:val="24"/>
          <w:lang w:eastAsia="es-UY"/>
          <w14:ligatures w14:val="none"/>
        </w:rPr>
        <w:t xml:space="preserve"> de Moya) y así recuperar la autonomía de lucha. Aunque ello signifique una fragmentación dolorosa.</w:t>
      </w:r>
    </w:p>
    <w:p w14:paraId="1525876C" w14:textId="77777777" w:rsidR="004607F4" w:rsidRPr="004607F4" w:rsidRDefault="004607F4" w:rsidP="004607F4">
      <w:pPr>
        <w:spacing w:after="0" w:line="240" w:lineRule="auto"/>
        <w:jc w:val="both"/>
        <w:rPr>
          <w:rFonts w:ascii="Times New Roman" w:eastAsia="Times New Roman" w:hAnsi="Times New Roman" w:cs="Times New Roman"/>
          <w:kern w:val="0"/>
          <w:sz w:val="24"/>
          <w:szCs w:val="24"/>
          <w:lang w:eastAsia="es-UY"/>
          <w14:ligatures w14:val="none"/>
        </w:rPr>
      </w:pPr>
      <w:r w:rsidRPr="004607F4">
        <w:rPr>
          <w:rFonts w:ascii="Times New Roman" w:eastAsia="Times New Roman" w:hAnsi="Times New Roman" w:cs="Times New Roman"/>
          <w:noProof/>
          <w:kern w:val="0"/>
          <w:sz w:val="24"/>
          <w:szCs w:val="24"/>
          <w:lang w:eastAsia="es-UY"/>
          <w14:ligatures w14:val="none"/>
        </w:rPr>
        <w:drawing>
          <wp:inline distT="0" distB="0" distL="0" distR="0" wp14:anchorId="4019FB04" wp14:editId="5F990D6D">
            <wp:extent cx="5510962" cy="3917950"/>
            <wp:effectExtent l="0" t="0" r="0" b="635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4591" cy="3927639"/>
                    </a:xfrm>
                    <a:prstGeom prst="rect">
                      <a:avLst/>
                    </a:prstGeom>
                    <a:noFill/>
                    <a:ln>
                      <a:noFill/>
                    </a:ln>
                  </pic:spPr>
                </pic:pic>
              </a:graphicData>
            </a:graphic>
          </wp:inline>
        </w:drawing>
      </w:r>
      <w:r w:rsidRPr="004607F4">
        <w:rPr>
          <w:rFonts w:ascii="Times New Roman" w:eastAsia="Times New Roman" w:hAnsi="Times New Roman" w:cs="Times New Roman"/>
          <w:i/>
          <w:iCs/>
          <w:kern w:val="0"/>
          <w:sz w:val="24"/>
          <w:szCs w:val="24"/>
          <w:lang w:eastAsia="es-UY"/>
          <w14:ligatures w14:val="none"/>
        </w:rPr>
        <w:t>Intercambio de opiniones durante la jornada sobre Políticas y estrategias de defensa de los territorios indígenas en Jujuy. </w:t>
      </w:r>
      <w:r w:rsidRPr="004607F4">
        <w:rPr>
          <w:rFonts w:ascii="Times New Roman" w:eastAsia="Times New Roman" w:hAnsi="Times New Roman" w:cs="Times New Roman"/>
          <w:b/>
          <w:bCs/>
          <w:i/>
          <w:iCs/>
          <w:kern w:val="0"/>
          <w:sz w:val="24"/>
          <w:szCs w:val="24"/>
          <w:lang w:eastAsia="es-UY"/>
          <w14:ligatures w14:val="none"/>
        </w:rPr>
        <w:t>Foto: </w:t>
      </w:r>
      <w:r w:rsidRPr="004607F4">
        <w:rPr>
          <w:rFonts w:ascii="Times New Roman" w:eastAsia="Times New Roman" w:hAnsi="Times New Roman" w:cs="Times New Roman"/>
          <w:i/>
          <w:iCs/>
          <w:kern w:val="0"/>
          <w:sz w:val="24"/>
          <w:szCs w:val="24"/>
          <w:lang w:eastAsia="es-UY"/>
          <w14:ligatures w14:val="none"/>
        </w:rPr>
        <w:t>Instituto de Ciencias Antropológicas</w:t>
      </w:r>
    </w:p>
    <w:p w14:paraId="5BC8EEC2" w14:textId="77777777" w:rsidR="004607F4" w:rsidRPr="004607F4" w:rsidRDefault="004607F4" w:rsidP="004607F4">
      <w:pPr>
        <w:spacing w:after="100" w:afterAutospacing="1" w:line="240" w:lineRule="auto"/>
        <w:jc w:val="both"/>
        <w:outlineLvl w:val="2"/>
        <w:rPr>
          <w:rFonts w:ascii="Arial" w:eastAsia="Times New Roman" w:hAnsi="Arial" w:cs="Arial"/>
          <w:b/>
          <w:bCs/>
          <w:color w:val="003250"/>
          <w:kern w:val="0"/>
          <w:sz w:val="27"/>
          <w:szCs w:val="27"/>
          <w:lang w:eastAsia="es-UY"/>
          <w14:ligatures w14:val="none"/>
        </w:rPr>
      </w:pPr>
      <w:r w:rsidRPr="004607F4">
        <w:rPr>
          <w:rFonts w:ascii="Arial" w:eastAsia="Times New Roman" w:hAnsi="Arial" w:cs="Arial"/>
          <w:b/>
          <w:bCs/>
          <w:color w:val="003250"/>
          <w:kern w:val="0"/>
          <w:sz w:val="27"/>
          <w:szCs w:val="27"/>
          <w:lang w:eastAsia="es-UY"/>
          <w14:ligatures w14:val="none"/>
        </w:rPr>
        <w:t>“Sembrar agua” y “caminar la tierra”: estrategias de defensa</w:t>
      </w:r>
    </w:p>
    <w:p w14:paraId="467C6EFA" w14:textId="77777777" w:rsidR="004607F4" w:rsidRPr="004607F4" w:rsidRDefault="004607F4" w:rsidP="004607F4">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4607F4">
        <w:rPr>
          <w:rFonts w:ascii="Times New Roman" w:eastAsia="Times New Roman" w:hAnsi="Times New Roman" w:cs="Times New Roman"/>
          <w:kern w:val="0"/>
          <w:sz w:val="24"/>
          <w:szCs w:val="24"/>
          <w:lang w:eastAsia="es-UY"/>
          <w14:ligatures w14:val="none"/>
        </w:rPr>
        <w:t>Frente al desamparo, las comunidades han comenzado a construir soluciones </w:t>
      </w:r>
      <w:r w:rsidRPr="004607F4">
        <w:rPr>
          <w:rFonts w:ascii="Times New Roman" w:eastAsia="Times New Roman" w:hAnsi="Times New Roman" w:cs="Times New Roman"/>
          <w:i/>
          <w:iCs/>
          <w:kern w:val="0"/>
          <w:sz w:val="24"/>
          <w:szCs w:val="24"/>
          <w:lang w:eastAsia="es-UY"/>
          <w14:ligatures w14:val="none"/>
        </w:rPr>
        <w:t>desde adentro</w:t>
      </w:r>
      <w:r w:rsidRPr="004607F4">
        <w:rPr>
          <w:rFonts w:ascii="Times New Roman" w:eastAsia="Times New Roman" w:hAnsi="Times New Roman" w:cs="Times New Roman"/>
          <w:kern w:val="0"/>
          <w:sz w:val="24"/>
          <w:szCs w:val="24"/>
          <w:lang w:eastAsia="es-UY"/>
          <w14:ligatures w14:val="none"/>
        </w:rPr>
        <w:t>. La lucha comienza muchas veces en el papel, mediante la presentación de actas, denuncias y la creación de alianzas con universidades y ONG. Es un proceso de aprendizaje colectivo donde las comunidades deben navegar los “vericuetos burocráticos” e identificar aliados. Sin embargo, cuando los canales formales se agotan, la protesta se traslada al cuerpo y a la ruta: desde bloqueos y huelgas de hambre hasta la captura de maquinaria pesada. Ante la falta de justicia, la movilización y la organización son las herramientas más certeras. “Estar agrupados en el Consejo, ahí se adquiere fuerza”, señala una comunaria.</w:t>
      </w:r>
    </w:p>
    <w:p w14:paraId="2EBA593E" w14:textId="77777777" w:rsidR="004607F4" w:rsidRPr="004607F4" w:rsidRDefault="004607F4" w:rsidP="004607F4">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4607F4">
        <w:rPr>
          <w:rFonts w:ascii="Times New Roman" w:eastAsia="Times New Roman" w:hAnsi="Times New Roman" w:cs="Times New Roman"/>
          <w:kern w:val="0"/>
          <w:sz w:val="24"/>
          <w:szCs w:val="24"/>
          <w:lang w:eastAsia="es-UY"/>
          <w14:ligatures w14:val="none"/>
        </w:rPr>
        <w:lastRenderedPageBreak/>
        <w:t xml:space="preserve">En la Puna, el Grupo de Mujeres Defensoras del Hábitat Natural (Casa Grande, Vizcarra y El Portillo) ha resignificado la protesta transformándola en cuidado ambiental activo. Ante la disminución de la </w:t>
      </w:r>
      <w:proofErr w:type="spellStart"/>
      <w:r w:rsidRPr="004607F4">
        <w:rPr>
          <w:rFonts w:ascii="Times New Roman" w:eastAsia="Times New Roman" w:hAnsi="Times New Roman" w:cs="Times New Roman"/>
          <w:kern w:val="0"/>
          <w:sz w:val="24"/>
          <w:szCs w:val="24"/>
          <w:lang w:eastAsia="es-UY"/>
          <w14:ligatures w14:val="none"/>
        </w:rPr>
        <w:t>queñua</w:t>
      </w:r>
      <w:proofErr w:type="spellEnd"/>
      <w:r w:rsidRPr="004607F4">
        <w:rPr>
          <w:rFonts w:ascii="Times New Roman" w:eastAsia="Times New Roman" w:hAnsi="Times New Roman" w:cs="Times New Roman"/>
          <w:kern w:val="0"/>
          <w:sz w:val="24"/>
          <w:szCs w:val="24"/>
          <w:lang w:eastAsia="es-UY"/>
          <w14:ligatures w14:val="none"/>
        </w:rPr>
        <w:t xml:space="preserve"> (un árbol nativo capaz de almacenar grandes cantidades de agua que fue devastado por la minería y la apertura de caminos), estas mujeres han iniciado una gesta de restauración y sanación del medio ambiente. “Sembrar agua para las próximas generaciones”, es la consigna bajo la que decidieron plantar 15.000 </w:t>
      </w:r>
      <w:proofErr w:type="spellStart"/>
      <w:r w:rsidRPr="004607F4">
        <w:rPr>
          <w:rFonts w:ascii="Times New Roman" w:eastAsia="Times New Roman" w:hAnsi="Times New Roman" w:cs="Times New Roman"/>
          <w:kern w:val="0"/>
          <w:sz w:val="24"/>
          <w:szCs w:val="24"/>
          <w:lang w:eastAsia="es-UY"/>
          <w14:ligatures w14:val="none"/>
        </w:rPr>
        <w:t>queñuas</w:t>
      </w:r>
      <w:proofErr w:type="spellEnd"/>
      <w:r w:rsidRPr="004607F4">
        <w:rPr>
          <w:rFonts w:ascii="Times New Roman" w:eastAsia="Times New Roman" w:hAnsi="Times New Roman" w:cs="Times New Roman"/>
          <w:kern w:val="0"/>
          <w:sz w:val="24"/>
          <w:szCs w:val="24"/>
          <w:lang w:eastAsia="es-UY"/>
          <w14:ligatures w14:val="none"/>
        </w:rPr>
        <w:t xml:space="preserve"> durante 2025. Este proceso requirió una “limpieza” interna: debieron buscar liderazgos independientes de la minera, ya que hasta 2017 sus representantes eran trabajadoras de la misma firma.</w:t>
      </w:r>
    </w:p>
    <w:p w14:paraId="3DFE72FE" w14:textId="77777777" w:rsidR="004607F4" w:rsidRPr="004607F4" w:rsidRDefault="004607F4" w:rsidP="004607F4">
      <w:pPr>
        <w:spacing w:before="100" w:beforeAutospacing="1" w:after="100" w:afterAutospacing="1" w:line="240" w:lineRule="auto"/>
        <w:jc w:val="both"/>
        <w:rPr>
          <w:rFonts w:ascii="Times New Roman" w:eastAsia="Times New Roman" w:hAnsi="Times New Roman" w:cs="Times New Roman"/>
          <w:i/>
          <w:iCs/>
          <w:color w:val="2B7AAA"/>
          <w:kern w:val="0"/>
          <w:sz w:val="24"/>
          <w:szCs w:val="24"/>
          <w:lang w:eastAsia="es-UY"/>
          <w14:ligatures w14:val="none"/>
        </w:rPr>
      </w:pPr>
      <w:r w:rsidRPr="004607F4">
        <w:rPr>
          <w:rFonts w:ascii="Times New Roman" w:eastAsia="Times New Roman" w:hAnsi="Times New Roman" w:cs="Times New Roman"/>
          <w:i/>
          <w:iCs/>
          <w:color w:val="2B7AAA"/>
          <w:kern w:val="0"/>
          <w:sz w:val="24"/>
          <w:szCs w:val="24"/>
          <w:lang w:eastAsia="es-UY"/>
          <w14:ligatures w14:val="none"/>
        </w:rPr>
        <w:t>Para Diego y David, de la comunidad de Rodero, la resistencia es permanencia. Frente a la gentrificación turística y la presión extractiva, el turismo comunitario y las escuelas rurales surgen como estrategias para frenar el éxodo joven.</w:t>
      </w:r>
    </w:p>
    <w:p w14:paraId="658E6173" w14:textId="77777777" w:rsidR="004607F4" w:rsidRPr="004607F4" w:rsidRDefault="004607F4" w:rsidP="004607F4">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4607F4">
        <w:rPr>
          <w:rFonts w:ascii="Times New Roman" w:eastAsia="Times New Roman" w:hAnsi="Times New Roman" w:cs="Times New Roman"/>
          <w:kern w:val="0"/>
          <w:sz w:val="24"/>
          <w:szCs w:val="24"/>
          <w:lang w:eastAsia="es-UY"/>
          <w14:ligatures w14:val="none"/>
        </w:rPr>
        <w:t>Otra forma de resistencia fue la “Caminata de Mujeres en Defensa de la Pachamama” en agosto de 2025. Desde la Laguna de Pozuelos, las mujeres recorrieron 282 kilómetros hasta San Salvador de Jujuy para denunciar cómo la minería desmantela las redes de vida y los modos tradicionales de existencia. Esta acción no fue solo una denuncia, sino un tejido intercomunitario que afirmó el rol central de las mujeres como guardianas del territorio.</w:t>
      </w:r>
    </w:p>
    <w:p w14:paraId="223D5730" w14:textId="77777777" w:rsidR="004607F4" w:rsidRDefault="004607F4" w:rsidP="004607F4">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4607F4">
        <w:rPr>
          <w:rFonts w:ascii="Times New Roman" w:eastAsia="Times New Roman" w:hAnsi="Times New Roman" w:cs="Times New Roman"/>
          <w:kern w:val="0"/>
          <w:sz w:val="24"/>
          <w:szCs w:val="24"/>
          <w:lang w:eastAsia="es-UY"/>
          <w14:ligatures w14:val="none"/>
        </w:rPr>
        <w:t>Para Diego y David, de la comunidad de Rodero, la resistencia es, ante todo, permanencia. Frente a la gentrificación turística y la presión extractiva, el turismo comunitario y el fortalecimiento de las escuelas rurales surgen como estrategias para frenar el éxodo joven: “Estudié en Tucumán y volví porque extrañaba la comunidad. Estar en el territorio es la mejor defensa. Trabajamos para no perder la identidad”. David complementa esta visión con una urgencia demográfica: “Nosotros conocemos el territorio, pero necesitamos que la gente se quede”. Un territorio habitado y con identidad fuerte es mucho más difícil de sacrificar que un “espacio vacío” en los mapas de inversión.</w:t>
      </w:r>
    </w:p>
    <w:p w14:paraId="3F804EFA" w14:textId="3B37F901" w:rsidR="00A53380" w:rsidRDefault="00A53380" w:rsidP="004607F4">
      <w:pPr>
        <w:spacing w:after="100" w:afterAutospacing="1" w:line="240" w:lineRule="auto"/>
        <w:jc w:val="both"/>
        <w:rPr>
          <w:rFonts w:ascii="Times New Roman" w:eastAsia="Times New Roman" w:hAnsi="Times New Roman" w:cs="Times New Roman"/>
          <w:kern w:val="0"/>
          <w:sz w:val="24"/>
          <w:szCs w:val="24"/>
          <w:lang w:eastAsia="es-UY"/>
          <w14:ligatures w14:val="none"/>
        </w:rPr>
      </w:pPr>
      <w:hyperlink r:id="rId13" w:history="1">
        <w:r w:rsidRPr="009F1C0A">
          <w:rPr>
            <w:rStyle w:val="Hipervnculo"/>
            <w:rFonts w:ascii="Times New Roman" w:eastAsia="Times New Roman" w:hAnsi="Times New Roman" w:cs="Times New Roman"/>
            <w:kern w:val="0"/>
            <w:sz w:val="24"/>
            <w:szCs w:val="24"/>
            <w:lang w:eastAsia="es-UY"/>
            <w14:ligatures w14:val="none"/>
          </w:rPr>
          <w:t>https://debatesindigenas.org/2026/06/01/estar-en-el-territorio-es-nuestra-mejor-defensa-la-resistencia-territorial-indigena-y-campesina-en-jujuy/</w:t>
        </w:r>
      </w:hyperlink>
    </w:p>
    <w:p w14:paraId="768A3620" w14:textId="77777777" w:rsidR="00A53380" w:rsidRPr="004607F4" w:rsidRDefault="00A53380" w:rsidP="004607F4">
      <w:pPr>
        <w:spacing w:after="100" w:afterAutospacing="1" w:line="240" w:lineRule="auto"/>
        <w:jc w:val="both"/>
        <w:rPr>
          <w:rFonts w:ascii="Times New Roman" w:eastAsia="Times New Roman" w:hAnsi="Times New Roman" w:cs="Times New Roman"/>
          <w:kern w:val="0"/>
          <w:sz w:val="24"/>
          <w:szCs w:val="24"/>
          <w:lang w:eastAsia="es-UY"/>
          <w14:ligatures w14:val="none"/>
        </w:rPr>
      </w:pPr>
    </w:p>
    <w:p w14:paraId="2646A12F" w14:textId="77777777" w:rsidR="004607F4" w:rsidRPr="004607F4" w:rsidRDefault="004607F4" w:rsidP="004607F4">
      <w:pPr>
        <w:spacing w:after="0" w:line="240" w:lineRule="auto"/>
        <w:rPr>
          <w:rFonts w:ascii="Times New Roman" w:eastAsia="Times New Roman" w:hAnsi="Times New Roman" w:cs="Times New Roman"/>
          <w:kern w:val="0"/>
          <w:sz w:val="24"/>
          <w:szCs w:val="24"/>
          <w:lang w:eastAsia="es-UY"/>
          <w14:ligatures w14:val="none"/>
        </w:rPr>
      </w:pPr>
      <w:r w:rsidRPr="004607F4">
        <w:rPr>
          <w:rFonts w:ascii="Times New Roman" w:eastAsia="Times New Roman" w:hAnsi="Times New Roman" w:cs="Times New Roman"/>
          <w:noProof/>
          <w:kern w:val="0"/>
          <w:sz w:val="24"/>
          <w:szCs w:val="24"/>
          <w:lang w:eastAsia="es-UY"/>
          <w14:ligatures w14:val="none"/>
        </w:rPr>
        <w:lastRenderedPageBreak/>
        <w:drawing>
          <wp:inline distT="0" distB="0" distL="0" distR="0" wp14:anchorId="342C9B27" wp14:editId="415FD8DD">
            <wp:extent cx="5274734" cy="3956050"/>
            <wp:effectExtent l="0" t="0" r="2540" b="6350"/>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3476" cy="3962606"/>
                    </a:xfrm>
                    <a:prstGeom prst="rect">
                      <a:avLst/>
                    </a:prstGeom>
                    <a:noFill/>
                    <a:ln>
                      <a:noFill/>
                    </a:ln>
                  </pic:spPr>
                </pic:pic>
              </a:graphicData>
            </a:graphic>
          </wp:inline>
        </w:drawing>
      </w:r>
      <w:r w:rsidRPr="004607F4">
        <w:rPr>
          <w:rFonts w:ascii="Times New Roman" w:eastAsia="Times New Roman" w:hAnsi="Times New Roman" w:cs="Times New Roman"/>
          <w:i/>
          <w:iCs/>
          <w:kern w:val="0"/>
          <w:sz w:val="24"/>
          <w:szCs w:val="24"/>
          <w:lang w:eastAsia="es-UY"/>
          <w14:ligatures w14:val="none"/>
        </w:rPr>
        <w:t>Mujeres de la comunidad Laguna de Pozuelos durante la “Caminata de Mujeres en Defensa de la Pachamama” en el pueblo de Abra Pampa. </w:t>
      </w:r>
      <w:r w:rsidRPr="004607F4">
        <w:rPr>
          <w:rFonts w:ascii="Times New Roman" w:eastAsia="Times New Roman" w:hAnsi="Times New Roman" w:cs="Times New Roman"/>
          <w:b/>
          <w:bCs/>
          <w:i/>
          <w:iCs/>
          <w:kern w:val="0"/>
          <w:sz w:val="24"/>
          <w:szCs w:val="24"/>
          <w:lang w:eastAsia="es-UY"/>
          <w14:ligatures w14:val="none"/>
        </w:rPr>
        <w:t>Foto: </w:t>
      </w:r>
      <w:r w:rsidRPr="004607F4">
        <w:rPr>
          <w:rFonts w:ascii="Times New Roman" w:eastAsia="Times New Roman" w:hAnsi="Times New Roman" w:cs="Times New Roman"/>
          <w:i/>
          <w:iCs/>
          <w:kern w:val="0"/>
          <w:sz w:val="24"/>
          <w:szCs w:val="24"/>
          <w:lang w:eastAsia="es-UY"/>
          <w14:ligatures w14:val="none"/>
        </w:rPr>
        <w:t>Federica Peci</w:t>
      </w:r>
    </w:p>
    <w:p w14:paraId="7EA24C41" w14:textId="77777777" w:rsidR="004607F4" w:rsidRPr="004607F4" w:rsidRDefault="004607F4" w:rsidP="004607F4">
      <w:pPr>
        <w:spacing w:after="100" w:afterAutospacing="1" w:line="240" w:lineRule="auto"/>
        <w:jc w:val="both"/>
        <w:outlineLvl w:val="2"/>
        <w:rPr>
          <w:rFonts w:ascii="Arial" w:eastAsia="Times New Roman" w:hAnsi="Arial" w:cs="Arial"/>
          <w:b/>
          <w:bCs/>
          <w:color w:val="003250"/>
          <w:kern w:val="0"/>
          <w:sz w:val="27"/>
          <w:szCs w:val="27"/>
          <w:lang w:eastAsia="es-UY"/>
          <w14:ligatures w14:val="none"/>
        </w:rPr>
      </w:pPr>
      <w:r w:rsidRPr="004607F4">
        <w:rPr>
          <w:rFonts w:ascii="Arial" w:eastAsia="Times New Roman" w:hAnsi="Arial" w:cs="Arial"/>
          <w:b/>
          <w:bCs/>
          <w:color w:val="003250"/>
          <w:kern w:val="0"/>
          <w:sz w:val="27"/>
          <w:szCs w:val="27"/>
          <w:lang w:eastAsia="es-UY"/>
          <w14:ligatures w14:val="none"/>
        </w:rPr>
        <w:t>Imaginando otros futuros posibles</w:t>
      </w:r>
    </w:p>
    <w:p w14:paraId="3354650E" w14:textId="77777777" w:rsidR="004607F4" w:rsidRPr="004607F4" w:rsidRDefault="004607F4" w:rsidP="004607F4">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4607F4">
        <w:rPr>
          <w:rFonts w:ascii="Times New Roman" w:eastAsia="Times New Roman" w:hAnsi="Times New Roman" w:cs="Times New Roman"/>
          <w:kern w:val="0"/>
          <w:sz w:val="24"/>
          <w:szCs w:val="24"/>
          <w:lang w:eastAsia="es-UY"/>
          <w14:ligatures w14:val="none"/>
        </w:rPr>
        <w:t xml:space="preserve">Sin embargo, no todas las estrategias son celebradas unánimemente. Existe un fenómeno creciente: la fisión de comunidades. Ante tensiones internas o cooptaciones políticas por parte de las empresas, grupos de comunarios como los de la nueva comunidad </w:t>
      </w:r>
      <w:proofErr w:type="spellStart"/>
      <w:r w:rsidRPr="004607F4">
        <w:rPr>
          <w:rFonts w:ascii="Times New Roman" w:eastAsia="Times New Roman" w:hAnsi="Times New Roman" w:cs="Times New Roman"/>
          <w:kern w:val="0"/>
          <w:sz w:val="24"/>
          <w:szCs w:val="24"/>
          <w:lang w:eastAsia="es-UY"/>
          <w14:ligatures w14:val="none"/>
        </w:rPr>
        <w:t>Antigal</w:t>
      </w:r>
      <w:proofErr w:type="spellEnd"/>
      <w:r w:rsidRPr="004607F4">
        <w:rPr>
          <w:rFonts w:ascii="Times New Roman" w:eastAsia="Times New Roman" w:hAnsi="Times New Roman" w:cs="Times New Roman"/>
          <w:kern w:val="0"/>
          <w:sz w:val="24"/>
          <w:szCs w:val="24"/>
          <w:lang w:eastAsia="es-UY"/>
          <w14:ligatures w14:val="none"/>
        </w:rPr>
        <w:t xml:space="preserve"> de Moya han optado por separarse de sus unidades originales. Si bien estas rupturas buscan resguardar la autonomía de quienes sí quieren luchar, también evidencian la capacidad del modelo extractivo para horadar la cohesión de los Pueblos Originarios que habitan el noroeste argentino.</w:t>
      </w:r>
    </w:p>
    <w:p w14:paraId="47B5A546" w14:textId="77777777" w:rsidR="004607F4" w:rsidRPr="004607F4" w:rsidRDefault="004607F4" w:rsidP="004607F4">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4607F4">
        <w:rPr>
          <w:rFonts w:ascii="Times New Roman" w:eastAsia="Times New Roman" w:hAnsi="Times New Roman" w:cs="Times New Roman"/>
          <w:kern w:val="0"/>
          <w:sz w:val="24"/>
          <w:szCs w:val="24"/>
          <w:lang w:eastAsia="es-UY"/>
          <w14:ligatures w14:val="none"/>
        </w:rPr>
        <w:t xml:space="preserve">En suma, el informe elaborado por el equipo de Antropología de las Políticas de Desarrollo y Territoriales del Instituto de Ciencias Antropológicas no sólo da cuenta de los conflictos y desafíos que afectan cotidianamente a las comunidades indígenas y campesinas, sino que abre un horizonte de posibilidades para invitarnos a imaginar otras formas de habitar y relacionarnos con el medioambiente. Las experiencias que nos comparten las comunidades indígenas y campesinas de Jujuy </w:t>
      </w:r>
      <w:proofErr w:type="gramStart"/>
      <w:r w:rsidRPr="004607F4">
        <w:rPr>
          <w:rFonts w:ascii="Times New Roman" w:eastAsia="Times New Roman" w:hAnsi="Times New Roman" w:cs="Times New Roman"/>
          <w:kern w:val="0"/>
          <w:sz w:val="24"/>
          <w:szCs w:val="24"/>
          <w:lang w:eastAsia="es-UY"/>
          <w14:ligatures w14:val="none"/>
        </w:rPr>
        <w:t>pone</w:t>
      </w:r>
      <w:proofErr w:type="gramEnd"/>
      <w:r w:rsidRPr="004607F4">
        <w:rPr>
          <w:rFonts w:ascii="Times New Roman" w:eastAsia="Times New Roman" w:hAnsi="Times New Roman" w:cs="Times New Roman"/>
          <w:kern w:val="0"/>
          <w:sz w:val="24"/>
          <w:szCs w:val="24"/>
          <w:lang w:eastAsia="es-UY"/>
          <w14:ligatures w14:val="none"/>
        </w:rPr>
        <w:t xml:space="preserve"> de manifiesto que el territorio no es un mero recurso para la planificación extractiva, sino un tejido vivo de historias, que se resiste a ser reducido por la lógica del mercado.</w:t>
      </w:r>
    </w:p>
    <w:p w14:paraId="1E924A72" w14:textId="77777777" w:rsidR="004607F4" w:rsidRPr="004607F4" w:rsidRDefault="004607F4" w:rsidP="004607F4">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4607F4">
        <w:rPr>
          <w:rFonts w:ascii="Times New Roman" w:eastAsia="Times New Roman" w:hAnsi="Times New Roman" w:cs="Times New Roman"/>
          <w:kern w:val="0"/>
          <w:sz w:val="24"/>
          <w:szCs w:val="24"/>
          <w:lang w:eastAsia="es-UY"/>
          <w14:ligatures w14:val="none"/>
        </w:rPr>
        <w:t xml:space="preserve">Poniendo en diálogo los saberes locales y académicos, el informe visibiliza prácticas, experiencias, resistencias y estrategias territoriales que suelen ser silenciadas: desde la creación de protocolos bioculturales propios hasta la siembra colectiva de </w:t>
      </w:r>
      <w:proofErr w:type="spellStart"/>
      <w:r w:rsidRPr="004607F4">
        <w:rPr>
          <w:rFonts w:ascii="Times New Roman" w:eastAsia="Times New Roman" w:hAnsi="Times New Roman" w:cs="Times New Roman"/>
          <w:kern w:val="0"/>
          <w:sz w:val="24"/>
          <w:szCs w:val="24"/>
          <w:lang w:eastAsia="es-UY"/>
          <w14:ligatures w14:val="none"/>
        </w:rPr>
        <w:t>queñuas</w:t>
      </w:r>
      <w:proofErr w:type="spellEnd"/>
      <w:r w:rsidRPr="004607F4">
        <w:rPr>
          <w:rFonts w:ascii="Times New Roman" w:eastAsia="Times New Roman" w:hAnsi="Times New Roman" w:cs="Times New Roman"/>
          <w:kern w:val="0"/>
          <w:sz w:val="24"/>
          <w:szCs w:val="24"/>
          <w:lang w:eastAsia="es-UY"/>
          <w14:ligatures w14:val="none"/>
        </w:rPr>
        <w:t xml:space="preserve">. La experiencia en Jujuy demuestra que la defensa se escribe con el cuerpo y la permanencia en los territorios. Y subraya una certeza compartida: frente a un modelo que proyecta </w:t>
      </w:r>
      <w:r w:rsidRPr="004607F4">
        <w:rPr>
          <w:rFonts w:ascii="Times New Roman" w:eastAsia="Times New Roman" w:hAnsi="Times New Roman" w:cs="Times New Roman"/>
          <w:kern w:val="0"/>
          <w:sz w:val="24"/>
          <w:szCs w:val="24"/>
          <w:lang w:eastAsia="es-UY"/>
          <w14:ligatures w14:val="none"/>
        </w:rPr>
        <w:lastRenderedPageBreak/>
        <w:t>“espacios vacíos”, el arraigo identitario y la ocupación efectiva constituyen la más sólida frontera contra el despojo.</w:t>
      </w:r>
    </w:p>
    <w:p w14:paraId="6D3EACFC" w14:textId="77777777" w:rsidR="004607F4" w:rsidRPr="004607F4" w:rsidRDefault="004607F4" w:rsidP="004607F4">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4607F4">
        <w:rPr>
          <w:rFonts w:ascii="Times New Roman" w:eastAsia="Times New Roman" w:hAnsi="Times New Roman" w:cs="Times New Roman"/>
          <w:b/>
          <w:bCs/>
          <w:kern w:val="0"/>
          <w:sz w:val="24"/>
          <w:szCs w:val="24"/>
          <w:lang w:eastAsia="es-UY"/>
          <w14:ligatures w14:val="none"/>
        </w:rPr>
        <w:t>Puede leer el </w:t>
      </w:r>
      <w:hyperlink r:id="rId15" w:tgtFrame="_blank" w:history="1">
        <w:r w:rsidRPr="004607F4">
          <w:rPr>
            <w:rFonts w:ascii="Times New Roman" w:eastAsia="Times New Roman" w:hAnsi="Times New Roman" w:cs="Times New Roman"/>
            <w:b/>
            <w:bCs/>
            <w:color w:val="2B7AAA"/>
            <w:kern w:val="0"/>
            <w:sz w:val="24"/>
            <w:szCs w:val="24"/>
            <w:lang w:eastAsia="es-UY"/>
            <w14:ligatures w14:val="none"/>
          </w:rPr>
          <w:t>informe del equipo de Antropología de las Políticas de Desarrollo y Territoriales en la página del Instituto de Ciencias Antropológicas</w:t>
        </w:r>
      </w:hyperlink>
      <w:r w:rsidRPr="004607F4">
        <w:rPr>
          <w:rFonts w:ascii="Times New Roman" w:eastAsia="Times New Roman" w:hAnsi="Times New Roman" w:cs="Times New Roman"/>
          <w:b/>
          <w:bCs/>
          <w:kern w:val="0"/>
          <w:sz w:val="24"/>
          <w:szCs w:val="24"/>
          <w:lang w:eastAsia="es-UY"/>
          <w14:ligatures w14:val="none"/>
        </w:rPr>
        <w:t>.</w:t>
      </w:r>
    </w:p>
    <w:p w14:paraId="187F3AE2" w14:textId="77777777" w:rsidR="004607F4" w:rsidRPr="004607F4" w:rsidRDefault="004607F4" w:rsidP="004607F4">
      <w:pPr>
        <w:spacing w:after="0" w:line="240" w:lineRule="auto"/>
        <w:jc w:val="both"/>
        <w:rPr>
          <w:rFonts w:ascii="Times New Roman" w:eastAsia="Times New Roman" w:hAnsi="Times New Roman" w:cs="Times New Roman"/>
          <w:color w:val="2B7AAA"/>
          <w:kern w:val="0"/>
          <w:sz w:val="24"/>
          <w:szCs w:val="24"/>
          <w:lang w:eastAsia="es-UY"/>
          <w14:ligatures w14:val="none"/>
        </w:rPr>
      </w:pPr>
      <w:r w:rsidRPr="004607F4">
        <w:rPr>
          <w:rFonts w:ascii="Times New Roman" w:eastAsia="Times New Roman" w:hAnsi="Times New Roman" w:cs="Times New Roman"/>
          <w:noProof/>
          <w:color w:val="2B7AAA"/>
          <w:kern w:val="0"/>
          <w:sz w:val="24"/>
          <w:szCs w:val="24"/>
          <w:lang w:eastAsia="es-UY"/>
          <w14:ligatures w14:val="none"/>
        </w:rPr>
        <w:drawing>
          <wp:inline distT="0" distB="0" distL="0" distR="0" wp14:anchorId="427ED27A" wp14:editId="66BC84AF">
            <wp:extent cx="952500" cy="952500"/>
            <wp:effectExtent l="0" t="0" r="0" b="0"/>
            <wp:docPr id="8" name="Imagen 3">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6402A2FA" w14:textId="77777777" w:rsidR="004607F4" w:rsidRPr="004607F4" w:rsidRDefault="004607F4" w:rsidP="004607F4">
      <w:pPr>
        <w:spacing w:after="100" w:afterAutospacing="1" w:line="240" w:lineRule="auto"/>
        <w:jc w:val="both"/>
        <w:rPr>
          <w:rFonts w:ascii="Times New Roman" w:eastAsia="Times New Roman" w:hAnsi="Times New Roman" w:cs="Times New Roman"/>
          <w:color w:val="2B7AAA"/>
          <w:kern w:val="0"/>
          <w:sz w:val="24"/>
          <w:szCs w:val="24"/>
          <w:lang w:eastAsia="es-UY"/>
          <w14:ligatures w14:val="none"/>
        </w:rPr>
      </w:pPr>
      <w:hyperlink r:id="rId17" w:history="1">
        <w:r w:rsidRPr="004607F4">
          <w:rPr>
            <w:rFonts w:ascii="Times New Roman" w:eastAsia="Times New Roman" w:hAnsi="Times New Roman" w:cs="Times New Roman"/>
            <w:b/>
            <w:bCs/>
            <w:color w:val="2B7AAA"/>
            <w:kern w:val="0"/>
            <w:sz w:val="24"/>
            <w:szCs w:val="24"/>
            <w:lang w:eastAsia="es-UY"/>
            <w14:ligatures w14:val="none"/>
          </w:rPr>
          <w:t>Natalia Castelnuovo Biraben </w:t>
        </w:r>
      </w:hyperlink>
      <w:r w:rsidRPr="004607F4">
        <w:rPr>
          <w:rFonts w:ascii="Times New Roman" w:eastAsia="Times New Roman" w:hAnsi="Times New Roman" w:cs="Times New Roman"/>
          <w:color w:val="2B7AAA"/>
          <w:kern w:val="0"/>
          <w:sz w:val="24"/>
          <w:szCs w:val="24"/>
          <w:lang w:eastAsia="es-UY"/>
          <w14:ligatures w14:val="none"/>
        </w:rPr>
        <w:t>es Licenciada y Doctora en Antropología por la Universidad de Buenos Aires (UBA), y se desempeña en el Instituto de Ciencias Antropológicas de la Facultad de Filosofía y Letras. Como investigadora del Consejo Nacional de Investigaciones Científicas y Técnicas (CONICET), estudia los escenarios indígenas y criollos del Gran Chaco.</w:t>
      </w:r>
    </w:p>
    <w:p w14:paraId="54333779" w14:textId="77777777" w:rsidR="004607F4" w:rsidRPr="004607F4" w:rsidRDefault="004607F4" w:rsidP="004607F4">
      <w:pPr>
        <w:spacing w:after="0" w:line="240" w:lineRule="auto"/>
        <w:jc w:val="both"/>
        <w:rPr>
          <w:rFonts w:ascii="Times New Roman" w:eastAsia="Times New Roman" w:hAnsi="Times New Roman" w:cs="Times New Roman"/>
          <w:color w:val="2B7AAA"/>
          <w:kern w:val="0"/>
          <w:sz w:val="24"/>
          <w:szCs w:val="24"/>
          <w:lang w:eastAsia="es-UY"/>
          <w14:ligatures w14:val="none"/>
        </w:rPr>
      </w:pPr>
      <w:r w:rsidRPr="004607F4">
        <w:rPr>
          <w:rFonts w:ascii="Times New Roman" w:eastAsia="Times New Roman" w:hAnsi="Times New Roman" w:cs="Times New Roman"/>
          <w:noProof/>
          <w:color w:val="2B7AAA"/>
          <w:kern w:val="0"/>
          <w:sz w:val="24"/>
          <w:szCs w:val="24"/>
          <w:lang w:eastAsia="es-UY"/>
          <w14:ligatures w14:val="none"/>
        </w:rPr>
        <w:drawing>
          <wp:inline distT="0" distB="0" distL="0" distR="0" wp14:anchorId="169B6EA2" wp14:editId="6F63E7B2">
            <wp:extent cx="952500" cy="952500"/>
            <wp:effectExtent l="0" t="0" r="0" b="0"/>
            <wp:docPr id="9" name="Imagen 2">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6"/>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4BE3F0F4" w14:textId="77777777" w:rsidR="004607F4" w:rsidRPr="004607F4" w:rsidRDefault="004607F4" w:rsidP="004607F4">
      <w:pPr>
        <w:spacing w:after="100" w:afterAutospacing="1" w:line="240" w:lineRule="auto"/>
        <w:jc w:val="both"/>
        <w:rPr>
          <w:rFonts w:ascii="Times New Roman" w:eastAsia="Times New Roman" w:hAnsi="Times New Roman" w:cs="Times New Roman"/>
          <w:color w:val="2B7AAA"/>
          <w:kern w:val="0"/>
          <w:sz w:val="24"/>
          <w:szCs w:val="24"/>
          <w:lang w:eastAsia="es-UY"/>
          <w14:ligatures w14:val="none"/>
        </w:rPr>
      </w:pPr>
      <w:hyperlink r:id="rId19" w:history="1">
        <w:r w:rsidRPr="004607F4">
          <w:rPr>
            <w:rFonts w:ascii="Times New Roman" w:eastAsia="Times New Roman" w:hAnsi="Times New Roman" w:cs="Times New Roman"/>
            <w:b/>
            <w:bCs/>
            <w:color w:val="2B7AAA"/>
            <w:kern w:val="0"/>
            <w:sz w:val="24"/>
            <w:szCs w:val="24"/>
            <w:lang w:eastAsia="es-UY"/>
            <w14:ligatures w14:val="none"/>
          </w:rPr>
          <w:t>Anabella Denuncio </w:t>
        </w:r>
      </w:hyperlink>
      <w:r w:rsidRPr="004607F4">
        <w:rPr>
          <w:rFonts w:ascii="Times New Roman" w:eastAsia="Times New Roman" w:hAnsi="Times New Roman" w:cs="Times New Roman"/>
          <w:color w:val="2B7AAA"/>
          <w:kern w:val="0"/>
          <w:sz w:val="24"/>
          <w:szCs w:val="24"/>
          <w:lang w:eastAsia="es-UY"/>
          <w14:ligatures w14:val="none"/>
        </w:rPr>
        <w:t>es socióloga y Doctora en Ciencias Sociales y Humanas radicada en el Instituto de Ciencias Antropológicas de la Universidad de Buenos Aires (UBA). Como Becaria Postdoctoral del Consejo Nacional de Investigaciones Científicas y Técnicas (CONICET), investiga sobre Pueblos Indígenas y acceso a la justicia en el Gran Chaco argentino.</w:t>
      </w:r>
    </w:p>
    <w:p w14:paraId="029F8BDF" w14:textId="77777777" w:rsidR="004607F4" w:rsidRPr="004607F4" w:rsidRDefault="004607F4" w:rsidP="004607F4">
      <w:pPr>
        <w:spacing w:after="0" w:line="240" w:lineRule="auto"/>
        <w:jc w:val="both"/>
        <w:rPr>
          <w:rFonts w:ascii="Times New Roman" w:eastAsia="Times New Roman" w:hAnsi="Times New Roman" w:cs="Times New Roman"/>
          <w:color w:val="2B7AAA"/>
          <w:kern w:val="0"/>
          <w:sz w:val="24"/>
          <w:szCs w:val="24"/>
          <w:lang w:eastAsia="es-UY"/>
          <w14:ligatures w14:val="none"/>
        </w:rPr>
      </w:pPr>
      <w:r w:rsidRPr="004607F4">
        <w:rPr>
          <w:rFonts w:ascii="Times New Roman" w:eastAsia="Times New Roman" w:hAnsi="Times New Roman" w:cs="Times New Roman"/>
          <w:noProof/>
          <w:color w:val="2B7AAA"/>
          <w:kern w:val="0"/>
          <w:sz w:val="24"/>
          <w:szCs w:val="24"/>
          <w:lang w:eastAsia="es-UY"/>
          <w14:ligatures w14:val="none"/>
        </w:rPr>
        <w:drawing>
          <wp:inline distT="0" distB="0" distL="0" distR="0" wp14:anchorId="089B6468" wp14:editId="4C678C19">
            <wp:extent cx="952500" cy="952500"/>
            <wp:effectExtent l="0" t="0" r="0" b="0"/>
            <wp:docPr id="10" name="Imagen 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7"/>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3DC5AB93" w14:textId="77777777" w:rsidR="004607F4" w:rsidRPr="004607F4" w:rsidRDefault="004607F4" w:rsidP="004607F4">
      <w:pPr>
        <w:spacing w:after="100" w:afterAutospacing="1" w:line="240" w:lineRule="auto"/>
        <w:jc w:val="both"/>
        <w:rPr>
          <w:rFonts w:ascii="Times New Roman" w:eastAsia="Times New Roman" w:hAnsi="Times New Roman" w:cs="Times New Roman"/>
          <w:color w:val="2B7AAA"/>
          <w:kern w:val="0"/>
          <w:sz w:val="24"/>
          <w:szCs w:val="24"/>
          <w:lang w:eastAsia="es-UY"/>
          <w14:ligatures w14:val="none"/>
        </w:rPr>
      </w:pPr>
      <w:hyperlink r:id="rId21" w:history="1">
        <w:r w:rsidRPr="004607F4">
          <w:rPr>
            <w:rFonts w:ascii="Times New Roman" w:eastAsia="Times New Roman" w:hAnsi="Times New Roman" w:cs="Times New Roman"/>
            <w:b/>
            <w:bCs/>
            <w:color w:val="2B7AAA"/>
            <w:kern w:val="0"/>
            <w:sz w:val="24"/>
            <w:szCs w:val="24"/>
            <w:lang w:eastAsia="es-UY"/>
            <w14:ligatures w14:val="none"/>
          </w:rPr>
          <w:t>Natalia Boffa </w:t>
        </w:r>
      </w:hyperlink>
      <w:r w:rsidRPr="004607F4">
        <w:rPr>
          <w:rFonts w:ascii="Times New Roman" w:eastAsia="Times New Roman" w:hAnsi="Times New Roman" w:cs="Times New Roman"/>
          <w:color w:val="2B7AAA"/>
          <w:kern w:val="0"/>
          <w:sz w:val="24"/>
          <w:szCs w:val="24"/>
          <w:lang w:eastAsia="es-UY"/>
          <w14:ligatures w14:val="none"/>
        </w:rPr>
        <w:t xml:space="preserve">es Doctora en Historia por la Universidad Nacional del Sur. Como docente e investigadora del Equipo de Antropologías de las Políticas de Desarrollo y Territoriales, estudia las luchas socio-territoriales indígenas en el Noroeste Argentina, el avance de la frontera agrícola, los </w:t>
      </w:r>
      <w:proofErr w:type="spellStart"/>
      <w:r w:rsidRPr="004607F4">
        <w:rPr>
          <w:rFonts w:ascii="Times New Roman" w:eastAsia="Times New Roman" w:hAnsi="Times New Roman" w:cs="Times New Roman"/>
          <w:color w:val="2B7AAA"/>
          <w:kern w:val="0"/>
          <w:sz w:val="24"/>
          <w:szCs w:val="24"/>
          <w:lang w:eastAsia="es-UY"/>
          <w14:ligatures w14:val="none"/>
        </w:rPr>
        <w:t>extractivismos</w:t>
      </w:r>
      <w:proofErr w:type="spellEnd"/>
      <w:r w:rsidRPr="004607F4">
        <w:rPr>
          <w:rFonts w:ascii="Times New Roman" w:eastAsia="Times New Roman" w:hAnsi="Times New Roman" w:cs="Times New Roman"/>
          <w:color w:val="2B7AAA"/>
          <w:kern w:val="0"/>
          <w:sz w:val="24"/>
          <w:szCs w:val="24"/>
          <w:lang w:eastAsia="es-UY"/>
          <w14:ligatures w14:val="none"/>
        </w:rPr>
        <w:t xml:space="preserve"> y las políticas de mitigación del cambio climático.</w:t>
      </w:r>
    </w:p>
    <w:p w14:paraId="5EEFC1E8" w14:textId="77777777" w:rsidR="00926044" w:rsidRDefault="00926044"/>
    <w:sectPr w:rsidR="0092604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07F4"/>
    <w:rsid w:val="003D26E8"/>
    <w:rsid w:val="004607F4"/>
    <w:rsid w:val="00926044"/>
    <w:rsid w:val="00A53380"/>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17EF3"/>
  <w15:chartTrackingRefBased/>
  <w15:docId w15:val="{FCF1D1C5-06FC-43CE-ADA8-4171EB16D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4607F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4607F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4607F4"/>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4607F4"/>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4607F4"/>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4607F4"/>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4607F4"/>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4607F4"/>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4607F4"/>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607F4"/>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4607F4"/>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4607F4"/>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4607F4"/>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4607F4"/>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4607F4"/>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4607F4"/>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4607F4"/>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607F4"/>
    <w:rPr>
      <w:rFonts w:eastAsiaTheme="majorEastAsia" w:cstheme="majorBidi"/>
      <w:color w:val="272727" w:themeColor="text1" w:themeTint="D8"/>
    </w:rPr>
  </w:style>
  <w:style w:type="paragraph" w:styleId="Ttulo">
    <w:name w:val="Title"/>
    <w:basedOn w:val="Normal"/>
    <w:next w:val="Normal"/>
    <w:link w:val="TtuloCar"/>
    <w:uiPriority w:val="10"/>
    <w:qFormat/>
    <w:rsid w:val="004607F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4607F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4607F4"/>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4607F4"/>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4607F4"/>
    <w:pPr>
      <w:spacing w:before="160"/>
      <w:jc w:val="center"/>
    </w:pPr>
    <w:rPr>
      <w:i/>
      <w:iCs/>
      <w:color w:val="404040" w:themeColor="text1" w:themeTint="BF"/>
    </w:rPr>
  </w:style>
  <w:style w:type="character" w:customStyle="1" w:styleId="CitaCar">
    <w:name w:val="Cita Car"/>
    <w:basedOn w:val="Fuentedeprrafopredeter"/>
    <w:link w:val="Cita"/>
    <w:uiPriority w:val="29"/>
    <w:rsid w:val="004607F4"/>
    <w:rPr>
      <w:i/>
      <w:iCs/>
      <w:color w:val="404040" w:themeColor="text1" w:themeTint="BF"/>
    </w:rPr>
  </w:style>
  <w:style w:type="paragraph" w:styleId="Prrafodelista">
    <w:name w:val="List Paragraph"/>
    <w:basedOn w:val="Normal"/>
    <w:uiPriority w:val="34"/>
    <w:qFormat/>
    <w:rsid w:val="004607F4"/>
    <w:pPr>
      <w:ind w:left="720"/>
      <w:contextualSpacing/>
    </w:pPr>
  </w:style>
  <w:style w:type="character" w:styleId="nfasisintenso">
    <w:name w:val="Intense Emphasis"/>
    <w:basedOn w:val="Fuentedeprrafopredeter"/>
    <w:uiPriority w:val="21"/>
    <w:qFormat/>
    <w:rsid w:val="004607F4"/>
    <w:rPr>
      <w:i/>
      <w:iCs/>
      <w:color w:val="0F4761" w:themeColor="accent1" w:themeShade="BF"/>
    </w:rPr>
  </w:style>
  <w:style w:type="paragraph" w:styleId="Citadestacada">
    <w:name w:val="Intense Quote"/>
    <w:basedOn w:val="Normal"/>
    <w:next w:val="Normal"/>
    <w:link w:val="CitadestacadaCar"/>
    <w:uiPriority w:val="30"/>
    <w:qFormat/>
    <w:rsid w:val="004607F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4607F4"/>
    <w:rPr>
      <w:i/>
      <w:iCs/>
      <w:color w:val="0F4761" w:themeColor="accent1" w:themeShade="BF"/>
    </w:rPr>
  </w:style>
  <w:style w:type="character" w:styleId="Referenciaintensa">
    <w:name w:val="Intense Reference"/>
    <w:basedOn w:val="Fuentedeprrafopredeter"/>
    <w:uiPriority w:val="32"/>
    <w:qFormat/>
    <w:rsid w:val="004607F4"/>
    <w:rPr>
      <w:b/>
      <w:bCs/>
      <w:smallCaps/>
      <w:color w:val="0F4761" w:themeColor="accent1" w:themeShade="BF"/>
      <w:spacing w:val="5"/>
    </w:rPr>
  </w:style>
  <w:style w:type="character" w:styleId="Hipervnculo">
    <w:name w:val="Hyperlink"/>
    <w:basedOn w:val="Fuentedeprrafopredeter"/>
    <w:uiPriority w:val="99"/>
    <w:unhideWhenUsed/>
    <w:rsid w:val="00A53380"/>
    <w:rPr>
      <w:color w:val="467886" w:themeColor="hyperlink"/>
      <w:u w:val="single"/>
    </w:rPr>
  </w:style>
  <w:style w:type="character" w:styleId="Mencinsinresolver">
    <w:name w:val="Unresolved Mention"/>
    <w:basedOn w:val="Fuentedeprrafopredeter"/>
    <w:uiPriority w:val="99"/>
    <w:semiHidden/>
    <w:unhideWhenUsed/>
    <w:rsid w:val="00A533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batesindigenas.org/2026/06/01/estar-en-el-territorio-es-nuestra-mejor-defensa-la-resistencia-territorial-indigena-y-campesina-en-jujuy/" TargetMode="External"/><Relationship Id="rId13" Type="http://schemas.openxmlformats.org/officeDocument/2006/relationships/hyperlink" Target="https://debatesindigenas.org/2026/06/01/estar-en-el-territorio-es-nuestra-mejor-defensa-la-resistencia-territorial-indigena-y-campesina-en-jujuy/" TargetMode="Externa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yperlink" Target="https://debatesindigenas.org/author/natalia-boffa/" TargetMode="External"/><Relationship Id="rId7" Type="http://schemas.openxmlformats.org/officeDocument/2006/relationships/hyperlink" Target="https://debatesindigenas.org/author/natalia-boffa/" TargetMode="External"/><Relationship Id="rId12" Type="http://schemas.openxmlformats.org/officeDocument/2006/relationships/image" Target="media/image4.jpeg"/><Relationship Id="rId17" Type="http://schemas.openxmlformats.org/officeDocument/2006/relationships/hyperlink" Target="https://debatesindigenas.org/author/natalia-castelnuovo-biraben/"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hyperlink" Target="https://debatesindigenas.org/author/anabella-denuncio/" TargetMode="External"/><Relationship Id="rId11" Type="http://schemas.openxmlformats.org/officeDocument/2006/relationships/image" Target="media/image3.jpeg"/><Relationship Id="rId5" Type="http://schemas.openxmlformats.org/officeDocument/2006/relationships/hyperlink" Target="https://debatesindigenas.org/author/natalia-castelnuovo-biraben/" TargetMode="External"/><Relationship Id="rId15" Type="http://schemas.openxmlformats.org/officeDocument/2006/relationships/hyperlink" Target="https://antropologia.institutos.filo.uba.ar/grupodepublicaciones"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debatesindigenas.org/author/anabella-denuncio/"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68FF1-E5B7-4871-9FEC-BC1A3740B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Pages>
  <Words>2684</Words>
  <Characters>14766</Characters>
  <Application>Microsoft Office Word</Application>
  <DocSecurity>0</DocSecurity>
  <Lines>123</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2026-06-04T13:39:00Z</dcterms:created>
  <dcterms:modified xsi:type="dcterms:W3CDTF">2026-06-04T13:50:00Z</dcterms:modified>
</cp:coreProperties>
</file>