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0D65" w14:textId="77777777" w:rsidR="00B004C0" w:rsidRPr="00B004C0" w:rsidRDefault="00B004C0" w:rsidP="00B004C0">
      <w:pPr>
        <w:shd w:val="clear" w:color="auto" w:fill="FFFFFF"/>
        <w:spacing w:before="480" w:after="120" w:line="240" w:lineRule="auto"/>
        <w:outlineLvl w:val="0"/>
        <w:rPr>
          <w:rFonts w:ascii="Arial" w:eastAsia="Times New Roman" w:hAnsi="Arial" w:cs="Arial"/>
          <w:b/>
          <w:bCs/>
          <w:color w:val="222222"/>
          <w:kern w:val="36"/>
          <w:sz w:val="48"/>
          <w:szCs w:val="48"/>
          <w:lang w:eastAsia="es-UY"/>
          <w14:ligatures w14:val="none"/>
        </w:rPr>
      </w:pPr>
      <w:r w:rsidRPr="00B004C0">
        <w:rPr>
          <w:rFonts w:ascii="Arial" w:eastAsia="Times New Roman" w:hAnsi="Arial" w:cs="Arial"/>
          <w:b/>
          <w:bCs/>
          <w:color w:val="000000"/>
          <w:kern w:val="36"/>
          <w:sz w:val="46"/>
          <w:szCs w:val="46"/>
          <w:lang w:eastAsia="es-UY"/>
          <w14:ligatures w14:val="none"/>
        </w:rPr>
        <w:t>Las sanciones estadounidenses contra la petrolera estatal hunden el sistema energético cubano</w:t>
      </w:r>
    </w:p>
    <w:p w14:paraId="65BBBF45"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La reciente decisión del Departamento del Tesoro de incluir a la empresa estatal Unión Cuba-Petróleo en su lista negra financiera desata una tormenta geopolítica de consecuencias devastadoras. Esta maniobra punitiva </w:t>
      </w:r>
      <w:r w:rsidRPr="00B004C0">
        <w:rPr>
          <w:rFonts w:ascii="Arial" w:eastAsia="Times New Roman" w:hAnsi="Arial" w:cs="Arial"/>
          <w:b/>
          <w:bCs/>
          <w:color w:val="000000"/>
          <w:kern w:val="0"/>
          <w:lang w:eastAsia="es-UY"/>
          <w14:ligatures w14:val="none"/>
        </w:rPr>
        <w:t>bloquea el acceso de la isla al</w:t>
      </w:r>
      <w:hyperlink r:id="rId5" w:tgtFrame="_blank" w:history="1">
        <w:r w:rsidRPr="00B004C0">
          <w:rPr>
            <w:rFonts w:ascii="Arial" w:eastAsia="Times New Roman" w:hAnsi="Arial" w:cs="Arial"/>
            <w:b/>
            <w:bCs/>
            <w:color w:val="000000"/>
            <w:kern w:val="0"/>
            <w:lang w:eastAsia="es-UY"/>
            <w14:ligatures w14:val="none"/>
          </w:rPr>
          <w:t xml:space="preserve"> </w:t>
        </w:r>
        <w:r w:rsidRPr="00B004C0">
          <w:rPr>
            <w:rFonts w:ascii="Arial" w:eastAsia="Times New Roman" w:hAnsi="Arial" w:cs="Arial"/>
            <w:b/>
            <w:bCs/>
            <w:color w:val="1155CC"/>
            <w:kern w:val="0"/>
            <w:u w:val="single"/>
            <w:lang w:eastAsia="es-UY"/>
            <w14:ligatures w14:val="none"/>
          </w:rPr>
          <w:t>mercado energético</w:t>
        </w:r>
      </w:hyperlink>
      <w:r w:rsidRPr="00B004C0">
        <w:rPr>
          <w:rFonts w:ascii="Arial" w:eastAsia="Times New Roman" w:hAnsi="Arial" w:cs="Arial"/>
          <w:b/>
          <w:bCs/>
          <w:color w:val="000000"/>
          <w:kern w:val="0"/>
          <w:lang w:eastAsia="es-UY"/>
          <w14:ligatures w14:val="none"/>
        </w:rPr>
        <w:t xml:space="preserve"> internacional</w:t>
      </w:r>
      <w:r w:rsidRPr="00B004C0">
        <w:rPr>
          <w:rFonts w:ascii="Arial" w:eastAsia="Times New Roman" w:hAnsi="Arial" w:cs="Arial"/>
          <w:color w:val="000000"/>
          <w:kern w:val="0"/>
          <w:lang w:eastAsia="es-UY"/>
          <w14:ligatures w14:val="none"/>
        </w:rPr>
        <w:t xml:space="preserve"> justo cuando sus ciudadanos sufren un</w:t>
      </w:r>
      <w:hyperlink r:id="rId6" w:tgtFrame="_blank" w:history="1">
        <w:r w:rsidRPr="00B004C0">
          <w:rPr>
            <w:rFonts w:ascii="Arial" w:eastAsia="Times New Roman" w:hAnsi="Arial" w:cs="Arial"/>
            <w:color w:val="000000"/>
            <w:kern w:val="0"/>
            <w:lang w:eastAsia="es-UY"/>
            <w14:ligatures w14:val="none"/>
          </w:rPr>
          <w:t xml:space="preserve"> </w:t>
        </w:r>
        <w:r w:rsidRPr="00B004C0">
          <w:rPr>
            <w:rFonts w:ascii="Arial" w:eastAsia="Times New Roman" w:hAnsi="Arial" w:cs="Arial"/>
            <w:color w:val="1155CC"/>
            <w:kern w:val="0"/>
            <w:u w:val="single"/>
            <w:lang w:eastAsia="es-UY"/>
            <w14:ligatures w14:val="none"/>
          </w:rPr>
          <w:t>corte de luz</w:t>
        </w:r>
      </w:hyperlink>
      <w:r w:rsidRPr="00B004C0">
        <w:rPr>
          <w:rFonts w:ascii="Arial" w:eastAsia="Times New Roman" w:hAnsi="Arial" w:cs="Arial"/>
          <w:color w:val="000000"/>
          <w:kern w:val="0"/>
          <w:lang w:eastAsia="es-UY"/>
          <w14:ligatures w14:val="none"/>
        </w:rPr>
        <w:t xml:space="preserve"> diario de hasta quince horas ininterrumpidas. El bloqueo absoluto a las importaciones de crudo plantea un crudo dilema moral sobre la estrategia de asfixia, donde el castigo dirigido a la cúpula militar termina por </w:t>
      </w:r>
      <w:r w:rsidRPr="00B004C0">
        <w:rPr>
          <w:rFonts w:ascii="Arial" w:eastAsia="Times New Roman" w:hAnsi="Arial" w:cs="Arial"/>
          <w:b/>
          <w:bCs/>
          <w:color w:val="000000"/>
          <w:kern w:val="0"/>
          <w:lang w:eastAsia="es-UY"/>
          <w14:ligatures w14:val="none"/>
        </w:rPr>
        <w:t>paralizar la maltrecha economía de millones de civiles</w:t>
      </w:r>
      <w:r w:rsidRPr="00B004C0">
        <w:rPr>
          <w:rFonts w:ascii="Arial" w:eastAsia="Times New Roman" w:hAnsi="Arial" w:cs="Arial"/>
          <w:color w:val="000000"/>
          <w:kern w:val="0"/>
          <w:lang w:eastAsia="es-UY"/>
          <w14:ligatures w14:val="none"/>
        </w:rPr>
        <w:t xml:space="preserve"> vulnerables.</w:t>
      </w:r>
    </w:p>
    <w:p w14:paraId="6EA5A343" w14:textId="77777777" w:rsidR="00B004C0" w:rsidRPr="00B004C0" w:rsidRDefault="00B004C0" w:rsidP="00B004C0">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04C0">
        <w:rPr>
          <w:rFonts w:ascii="Arial" w:eastAsia="Times New Roman" w:hAnsi="Arial" w:cs="Arial"/>
          <w:b/>
          <w:bCs/>
          <w:color w:val="000000"/>
          <w:kern w:val="0"/>
          <w:sz w:val="34"/>
          <w:szCs w:val="34"/>
          <w:lang w:eastAsia="es-UY"/>
          <w14:ligatures w14:val="none"/>
        </w:rPr>
        <w:t>Bloqueo financiero internacional y colapso estructural</w:t>
      </w:r>
    </w:p>
    <w:p w14:paraId="63754271"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La inclusión de la entidad importadora de la isla en la base de datos de la Oficina de Control de Activos Extranjeros anula su capacidad operativa. Al prohibir transacciones transfronterizas, la medida </w:t>
      </w:r>
      <w:r w:rsidRPr="00B004C0">
        <w:rPr>
          <w:rFonts w:ascii="Arial" w:eastAsia="Times New Roman" w:hAnsi="Arial" w:cs="Arial"/>
          <w:b/>
          <w:bCs/>
          <w:color w:val="000000"/>
          <w:kern w:val="0"/>
          <w:lang w:eastAsia="es-UY"/>
          <w14:ligatures w14:val="none"/>
        </w:rPr>
        <w:t>frustra proyectos logísticos recientes</w:t>
      </w:r>
      <w:r w:rsidRPr="00B004C0">
        <w:rPr>
          <w:rFonts w:ascii="Arial" w:eastAsia="Times New Roman" w:hAnsi="Arial" w:cs="Arial"/>
          <w:color w:val="000000"/>
          <w:kern w:val="0"/>
          <w:lang w:eastAsia="es-UY"/>
          <w14:ligatures w14:val="none"/>
        </w:rPr>
        <w:t xml:space="preserve"> que contemplaban el manejo de miles de barriles desde terminales norteamericanas. Este aislamiento impide el arrendamiento de infraestructuras vitales para mantener las reservas nacionales.</w:t>
      </w:r>
    </w:p>
    <w:p w14:paraId="2482C1B1"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El desmantelamiento del suministro ocurre simultáneamente a las acciones contra figuras del gobierno de Miguel Díaz-Canel. Washington justifica esta intervención como </w:t>
      </w:r>
      <w:r w:rsidRPr="00B004C0">
        <w:rPr>
          <w:rFonts w:ascii="Arial" w:eastAsia="Times New Roman" w:hAnsi="Arial" w:cs="Arial"/>
          <w:b/>
          <w:bCs/>
          <w:color w:val="000000"/>
          <w:kern w:val="0"/>
          <w:lang w:eastAsia="es-UY"/>
          <w14:ligatures w14:val="none"/>
        </w:rPr>
        <w:t>represalia inexcusable ante la represión</w:t>
      </w:r>
      <w:r w:rsidRPr="00B004C0">
        <w:rPr>
          <w:rFonts w:ascii="Arial" w:eastAsia="Times New Roman" w:hAnsi="Arial" w:cs="Arial"/>
          <w:color w:val="000000"/>
          <w:kern w:val="0"/>
          <w:lang w:eastAsia="es-UY"/>
          <w14:ligatures w14:val="none"/>
        </w:rPr>
        <w:t xml:space="preserve"> de la disidencia. La parálisis logística consolida una </w:t>
      </w:r>
      <w:r w:rsidRPr="00B004C0">
        <w:rPr>
          <w:rFonts w:ascii="Arial" w:eastAsia="Times New Roman" w:hAnsi="Arial" w:cs="Arial"/>
          <w:b/>
          <w:bCs/>
          <w:color w:val="000000"/>
          <w:kern w:val="0"/>
          <w:lang w:eastAsia="es-UY"/>
          <w14:ligatures w14:val="none"/>
        </w:rPr>
        <w:t>táctica de estrangulamiento que imposibilita la firma de contratos</w:t>
      </w:r>
      <w:r w:rsidRPr="00B004C0">
        <w:rPr>
          <w:rFonts w:ascii="Arial" w:eastAsia="Times New Roman" w:hAnsi="Arial" w:cs="Arial"/>
          <w:color w:val="000000"/>
          <w:kern w:val="0"/>
          <w:lang w:eastAsia="es-UY"/>
          <w14:ligatures w14:val="none"/>
        </w:rPr>
        <w:t xml:space="preserve"> de emergencia con proveedores durante la actual crisis del suministro de</w:t>
      </w:r>
      <w:hyperlink r:id="rId7" w:tgtFrame="_blank" w:history="1">
        <w:r w:rsidRPr="00B004C0">
          <w:rPr>
            <w:rFonts w:ascii="Arial" w:eastAsia="Times New Roman" w:hAnsi="Arial" w:cs="Arial"/>
            <w:color w:val="000000"/>
            <w:kern w:val="0"/>
            <w:lang w:eastAsia="es-UY"/>
            <w14:ligatures w14:val="none"/>
          </w:rPr>
          <w:t xml:space="preserve"> </w:t>
        </w:r>
        <w:r w:rsidRPr="00B004C0">
          <w:rPr>
            <w:rFonts w:ascii="Arial" w:eastAsia="Times New Roman" w:hAnsi="Arial" w:cs="Arial"/>
            <w:color w:val="1155CC"/>
            <w:kern w:val="0"/>
            <w:u w:val="single"/>
            <w:lang w:eastAsia="es-UY"/>
            <w14:ligatures w14:val="none"/>
          </w:rPr>
          <w:t>electricidad</w:t>
        </w:r>
      </w:hyperlink>
      <w:r w:rsidRPr="00B004C0">
        <w:rPr>
          <w:rFonts w:ascii="Arial" w:eastAsia="Times New Roman" w:hAnsi="Arial" w:cs="Arial"/>
          <w:color w:val="000000"/>
          <w:kern w:val="0"/>
          <w:lang w:eastAsia="es-UY"/>
          <w14:ligatures w14:val="none"/>
        </w:rPr>
        <w:t>.</w:t>
      </w:r>
    </w:p>
    <w:p w14:paraId="474D7892" w14:textId="77777777" w:rsidR="00B004C0" w:rsidRPr="00B004C0" w:rsidRDefault="00B004C0" w:rsidP="00B004C0">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04C0">
        <w:rPr>
          <w:rFonts w:ascii="Arial" w:eastAsia="Times New Roman" w:hAnsi="Arial" w:cs="Arial"/>
          <w:b/>
          <w:bCs/>
          <w:color w:val="000000"/>
          <w:kern w:val="0"/>
          <w:sz w:val="34"/>
          <w:szCs w:val="34"/>
          <w:lang w:eastAsia="es-UY"/>
          <w14:ligatures w14:val="none"/>
        </w:rPr>
        <w:t>Impacto socioeconómico de la parálisis de los hidrocarburos</w:t>
      </w:r>
    </w:p>
    <w:p w14:paraId="021747A5" w14:textId="77777777" w:rsidR="00B004C0" w:rsidRPr="00B004C0" w:rsidRDefault="00B004C0" w:rsidP="00B004C0">
      <w:pPr>
        <w:numPr>
          <w:ilvl w:val="0"/>
          <w:numId w:val="1"/>
        </w:numPr>
        <w:spacing w:before="240" w:after="0" w:line="240" w:lineRule="auto"/>
        <w:ind w:left="945"/>
        <w:textAlignment w:val="baseline"/>
        <w:rPr>
          <w:rFonts w:ascii="Arial" w:eastAsia="Times New Roman" w:hAnsi="Arial" w:cs="Arial"/>
          <w:color w:val="000000"/>
          <w:kern w:val="0"/>
          <w:lang w:eastAsia="es-UY"/>
          <w14:ligatures w14:val="none"/>
        </w:rPr>
      </w:pPr>
      <w:r w:rsidRPr="00B004C0">
        <w:rPr>
          <w:rFonts w:ascii="Arial" w:eastAsia="Times New Roman" w:hAnsi="Arial" w:cs="Arial"/>
          <w:b/>
          <w:bCs/>
          <w:color w:val="000000"/>
          <w:kern w:val="0"/>
          <w:lang w:eastAsia="es-UY"/>
          <w14:ligatures w14:val="none"/>
        </w:rPr>
        <w:t>La desconexión del circuito comercial impone un deterioro inmediato</w:t>
      </w:r>
      <w:r w:rsidRPr="00B004C0">
        <w:rPr>
          <w:rFonts w:ascii="Arial" w:eastAsia="Times New Roman" w:hAnsi="Arial" w:cs="Arial"/>
          <w:color w:val="000000"/>
          <w:kern w:val="0"/>
          <w:lang w:eastAsia="es-UY"/>
          <w14:ligatures w14:val="none"/>
        </w:rPr>
        <w:t xml:space="preserve"> sobre cualquier</w:t>
      </w:r>
      <w:hyperlink r:id="rId8" w:tgtFrame="_blank" w:history="1">
        <w:r w:rsidRPr="00B004C0">
          <w:rPr>
            <w:rFonts w:ascii="Arial" w:eastAsia="Times New Roman" w:hAnsi="Arial" w:cs="Arial"/>
            <w:color w:val="000000"/>
            <w:kern w:val="0"/>
            <w:lang w:eastAsia="es-UY"/>
            <w14:ligatures w14:val="none"/>
          </w:rPr>
          <w:t xml:space="preserve"> </w:t>
        </w:r>
        <w:r w:rsidRPr="00B004C0">
          <w:rPr>
            <w:rFonts w:ascii="Arial" w:eastAsia="Times New Roman" w:hAnsi="Arial" w:cs="Arial"/>
            <w:color w:val="1155CC"/>
            <w:kern w:val="0"/>
            <w:u w:val="single"/>
            <w:lang w:eastAsia="es-UY"/>
            <w14:ligatures w14:val="none"/>
          </w:rPr>
          <w:t>instalación eléctrica</w:t>
        </w:r>
      </w:hyperlink>
      <w:r w:rsidRPr="00B004C0">
        <w:rPr>
          <w:rFonts w:ascii="Arial" w:eastAsia="Times New Roman" w:hAnsi="Arial" w:cs="Arial"/>
          <w:color w:val="000000"/>
          <w:kern w:val="0"/>
          <w:lang w:eastAsia="es-UY"/>
          <w14:ligatures w14:val="none"/>
        </w:rPr>
        <w:t xml:space="preserve"> y productiva cubana.</w:t>
      </w:r>
    </w:p>
    <w:p w14:paraId="522426CF" w14:textId="77777777" w:rsidR="00B004C0" w:rsidRPr="00B004C0" w:rsidRDefault="00B004C0" w:rsidP="00B004C0">
      <w:pPr>
        <w:numPr>
          <w:ilvl w:val="0"/>
          <w:numId w:val="1"/>
        </w:numPr>
        <w:spacing w:after="0" w:line="240" w:lineRule="auto"/>
        <w:ind w:left="945"/>
        <w:textAlignment w:val="baseline"/>
        <w:rPr>
          <w:rFonts w:ascii="Arial" w:eastAsia="Times New Roman" w:hAnsi="Arial" w:cs="Arial"/>
          <w:color w:val="000000"/>
          <w:kern w:val="0"/>
          <w:lang w:eastAsia="es-UY"/>
          <w14:ligatures w14:val="none"/>
        </w:rPr>
      </w:pPr>
      <w:r w:rsidRPr="00B004C0">
        <w:rPr>
          <w:rFonts w:ascii="Arial" w:eastAsia="Times New Roman" w:hAnsi="Arial" w:cs="Arial"/>
          <w:b/>
          <w:bCs/>
          <w:color w:val="000000"/>
          <w:kern w:val="0"/>
          <w:lang w:eastAsia="es-UY"/>
          <w14:ligatures w14:val="none"/>
        </w:rPr>
        <w:t>La falta de</w:t>
      </w:r>
      <w:hyperlink r:id="rId9" w:tgtFrame="_blank" w:history="1">
        <w:r w:rsidRPr="00B004C0">
          <w:rPr>
            <w:rFonts w:ascii="Arial" w:eastAsia="Times New Roman" w:hAnsi="Arial" w:cs="Arial"/>
            <w:b/>
            <w:bCs/>
            <w:color w:val="000000"/>
            <w:kern w:val="0"/>
            <w:lang w:eastAsia="es-UY"/>
            <w14:ligatures w14:val="none"/>
          </w:rPr>
          <w:t xml:space="preserve"> </w:t>
        </w:r>
        <w:r w:rsidRPr="00B004C0">
          <w:rPr>
            <w:rFonts w:ascii="Arial" w:eastAsia="Times New Roman" w:hAnsi="Arial" w:cs="Arial"/>
            <w:b/>
            <w:bCs/>
            <w:color w:val="1155CC"/>
            <w:kern w:val="0"/>
            <w:u w:val="single"/>
            <w:lang w:eastAsia="es-UY"/>
            <w14:ligatures w14:val="none"/>
          </w:rPr>
          <w:t>gasoil</w:t>
        </w:r>
      </w:hyperlink>
      <w:r w:rsidRPr="00B004C0">
        <w:rPr>
          <w:rFonts w:ascii="Arial" w:eastAsia="Times New Roman" w:hAnsi="Arial" w:cs="Arial"/>
          <w:b/>
          <w:bCs/>
          <w:color w:val="000000"/>
          <w:kern w:val="0"/>
          <w:lang w:eastAsia="es-UY"/>
          <w14:ligatures w14:val="none"/>
        </w:rPr>
        <w:t xml:space="preserve"> para generadores detiene la actividad</w:t>
      </w:r>
      <w:r w:rsidRPr="00B004C0">
        <w:rPr>
          <w:rFonts w:ascii="Arial" w:eastAsia="Times New Roman" w:hAnsi="Arial" w:cs="Arial"/>
          <w:color w:val="000000"/>
          <w:kern w:val="0"/>
          <w:lang w:eastAsia="es-UY"/>
          <w14:ligatures w14:val="none"/>
        </w:rPr>
        <w:t xml:space="preserve"> en centros hospitalarios y paraliza las redes de distribución de agua potable.</w:t>
      </w:r>
    </w:p>
    <w:p w14:paraId="4FF1B0F0" w14:textId="77777777" w:rsidR="00B004C0" w:rsidRPr="00B004C0" w:rsidRDefault="00B004C0" w:rsidP="00B004C0">
      <w:pPr>
        <w:numPr>
          <w:ilvl w:val="0"/>
          <w:numId w:val="1"/>
        </w:numPr>
        <w:spacing w:after="240" w:line="240" w:lineRule="auto"/>
        <w:ind w:left="945"/>
        <w:textAlignment w:val="baseline"/>
        <w:rPr>
          <w:rFonts w:ascii="Arial" w:eastAsia="Times New Roman" w:hAnsi="Arial" w:cs="Arial"/>
          <w:color w:val="000000"/>
          <w:kern w:val="0"/>
          <w:lang w:eastAsia="es-UY"/>
          <w14:ligatures w14:val="none"/>
        </w:rPr>
      </w:pPr>
      <w:r w:rsidRPr="00B004C0">
        <w:rPr>
          <w:rFonts w:ascii="Arial" w:eastAsia="Times New Roman" w:hAnsi="Arial" w:cs="Arial"/>
          <w:b/>
          <w:bCs/>
          <w:color w:val="000000"/>
          <w:kern w:val="0"/>
          <w:lang w:eastAsia="es-UY"/>
          <w14:ligatures w14:val="none"/>
        </w:rPr>
        <w:t>El impacto económico aniquila las operaciones industriales</w:t>
      </w:r>
      <w:r w:rsidRPr="00B004C0">
        <w:rPr>
          <w:rFonts w:ascii="Arial" w:eastAsia="Times New Roman" w:hAnsi="Arial" w:cs="Arial"/>
          <w:color w:val="000000"/>
          <w:kern w:val="0"/>
          <w:lang w:eastAsia="es-UY"/>
          <w14:ligatures w14:val="none"/>
        </w:rPr>
        <w:t xml:space="preserve"> y frena en seco la incipiente iniciativa privada dependiente de la movilidad terrestre.</w:t>
      </w:r>
    </w:p>
    <w:p w14:paraId="061DBA96"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Desde una perspectiva analítica, el acorralamiento de la empresa estatal agrava una emergencia humanitaria sin desestabilizar necesariamente las estructuras del régimen. El </w:t>
      </w:r>
      <w:r w:rsidRPr="00B004C0">
        <w:rPr>
          <w:rFonts w:ascii="Arial" w:eastAsia="Times New Roman" w:hAnsi="Arial" w:cs="Arial"/>
          <w:b/>
          <w:bCs/>
          <w:color w:val="000000"/>
          <w:kern w:val="0"/>
          <w:lang w:eastAsia="es-UY"/>
          <w14:ligatures w14:val="none"/>
        </w:rPr>
        <w:t>castigo financiero colectivo fomenta un mercado negro</w:t>
      </w:r>
      <w:r w:rsidRPr="00B004C0">
        <w:rPr>
          <w:rFonts w:ascii="Arial" w:eastAsia="Times New Roman" w:hAnsi="Arial" w:cs="Arial"/>
          <w:color w:val="000000"/>
          <w:kern w:val="0"/>
          <w:lang w:eastAsia="es-UY"/>
          <w14:ligatures w14:val="none"/>
        </w:rPr>
        <w:t xml:space="preserve"> interno y acelera el éxodo migratorio masivo hacia territorios vecinos. La restricción absoluta del acceso a recursos básicos </w:t>
      </w:r>
      <w:r w:rsidRPr="00B004C0">
        <w:rPr>
          <w:rFonts w:ascii="Arial" w:eastAsia="Times New Roman" w:hAnsi="Arial" w:cs="Arial"/>
          <w:b/>
          <w:bCs/>
          <w:color w:val="000000"/>
          <w:kern w:val="0"/>
          <w:lang w:eastAsia="es-UY"/>
          <w14:ligatures w14:val="none"/>
        </w:rPr>
        <w:t>transforma la carencia energética en un catalizador de miseria</w:t>
      </w:r>
      <w:r w:rsidRPr="00B004C0">
        <w:rPr>
          <w:rFonts w:ascii="Arial" w:eastAsia="Times New Roman" w:hAnsi="Arial" w:cs="Arial"/>
          <w:color w:val="000000"/>
          <w:kern w:val="0"/>
          <w:lang w:eastAsia="es-UY"/>
          <w14:ligatures w14:val="none"/>
        </w:rPr>
        <w:t xml:space="preserve"> estructural para la ciudadanía.</w:t>
      </w:r>
    </w:p>
    <w:p w14:paraId="3D8BC656" w14:textId="77777777" w:rsidR="00B004C0" w:rsidRPr="00B004C0" w:rsidRDefault="00B004C0" w:rsidP="00B004C0">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B004C0">
        <w:rPr>
          <w:rFonts w:ascii="Arial" w:eastAsia="Times New Roman" w:hAnsi="Arial" w:cs="Arial"/>
          <w:b/>
          <w:bCs/>
          <w:color w:val="000000"/>
          <w:kern w:val="0"/>
          <w:sz w:val="34"/>
          <w:szCs w:val="34"/>
          <w:lang w:eastAsia="es-UY"/>
          <w14:ligatures w14:val="none"/>
        </w:rPr>
        <w:lastRenderedPageBreak/>
        <w:t>Perspectiva estratégica ante el desgaste institucional y ciudadano</w:t>
      </w:r>
    </w:p>
    <w:p w14:paraId="3644B3C6"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La postura inamovible frente al monopolio caribeño refleja una política exterior anclada en la </w:t>
      </w:r>
      <w:r w:rsidRPr="00B004C0">
        <w:rPr>
          <w:rFonts w:ascii="Arial" w:eastAsia="Times New Roman" w:hAnsi="Arial" w:cs="Arial"/>
          <w:b/>
          <w:bCs/>
          <w:color w:val="000000"/>
          <w:kern w:val="0"/>
          <w:lang w:eastAsia="es-UY"/>
          <w14:ligatures w14:val="none"/>
        </w:rPr>
        <w:t>máxima presión económica</w:t>
      </w:r>
      <w:r w:rsidRPr="00B004C0">
        <w:rPr>
          <w:rFonts w:ascii="Arial" w:eastAsia="Times New Roman" w:hAnsi="Arial" w:cs="Arial"/>
          <w:color w:val="000000"/>
          <w:kern w:val="0"/>
          <w:lang w:eastAsia="es-UY"/>
          <w14:ligatures w14:val="none"/>
        </w:rPr>
        <w:t>. Mientras las facciones intercambian acusaciones sobre la responsabilidad del colapso, el tablero geopolítico no muestra señales de flexibilización. Esta estrategia de aislar los resortes financieros choca frontalmente con la incapacidad del sistema centralizado para garantizar una transición hacia las</w:t>
      </w:r>
      <w:hyperlink r:id="rId10" w:tgtFrame="_blank" w:history="1">
        <w:r w:rsidRPr="00B004C0">
          <w:rPr>
            <w:rFonts w:ascii="Arial" w:eastAsia="Times New Roman" w:hAnsi="Arial" w:cs="Arial"/>
            <w:color w:val="000000"/>
            <w:kern w:val="0"/>
            <w:lang w:eastAsia="es-UY"/>
            <w14:ligatures w14:val="none"/>
          </w:rPr>
          <w:t xml:space="preserve"> </w:t>
        </w:r>
        <w:r w:rsidRPr="00B004C0">
          <w:rPr>
            <w:rFonts w:ascii="Arial" w:eastAsia="Times New Roman" w:hAnsi="Arial" w:cs="Arial"/>
            <w:color w:val="1155CC"/>
            <w:kern w:val="0"/>
            <w:u w:val="single"/>
            <w:lang w:eastAsia="es-UY"/>
            <w14:ligatures w14:val="none"/>
          </w:rPr>
          <w:t>energías renovables</w:t>
        </w:r>
      </w:hyperlink>
      <w:r w:rsidRPr="00B004C0">
        <w:rPr>
          <w:rFonts w:ascii="Arial" w:eastAsia="Times New Roman" w:hAnsi="Arial" w:cs="Arial"/>
          <w:color w:val="000000"/>
          <w:kern w:val="0"/>
          <w:lang w:eastAsia="es-UY"/>
          <w14:ligatures w14:val="none"/>
        </w:rPr>
        <w:t xml:space="preserve"> o un modelo alternativo de subsistencia.</w:t>
      </w:r>
    </w:p>
    <w:p w14:paraId="04B1874E" w14:textId="77777777" w:rsidR="00B004C0" w:rsidRPr="00B004C0" w:rsidRDefault="00B004C0" w:rsidP="00B004C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El endurecimiento del cerco comercial perfila un horizonte desolador marcado por la </w:t>
      </w:r>
      <w:r w:rsidRPr="00B004C0">
        <w:rPr>
          <w:rFonts w:ascii="Arial" w:eastAsia="Times New Roman" w:hAnsi="Arial" w:cs="Arial"/>
          <w:b/>
          <w:bCs/>
          <w:color w:val="000000"/>
          <w:kern w:val="0"/>
          <w:lang w:eastAsia="es-UY"/>
          <w14:ligatures w14:val="none"/>
        </w:rPr>
        <w:t>inestabilidad civil crónica</w:t>
      </w:r>
      <w:r w:rsidRPr="00B004C0">
        <w:rPr>
          <w:rFonts w:ascii="Arial" w:eastAsia="Times New Roman" w:hAnsi="Arial" w:cs="Arial"/>
          <w:color w:val="000000"/>
          <w:kern w:val="0"/>
          <w:lang w:eastAsia="es-UY"/>
          <w14:ligatures w14:val="none"/>
        </w:rPr>
        <w:t xml:space="preserve">. La instrumentalización de las necesidades energéticas como herramienta de coacción demuestra la dureza del conflicto bilateral. Sin vías de negociación activas, el territorio insular se encamina hacia un abismo total, atrapado entre la </w:t>
      </w:r>
      <w:r w:rsidRPr="00B004C0">
        <w:rPr>
          <w:rFonts w:ascii="Arial" w:eastAsia="Times New Roman" w:hAnsi="Arial" w:cs="Arial"/>
          <w:b/>
          <w:bCs/>
          <w:color w:val="000000"/>
          <w:kern w:val="0"/>
          <w:lang w:eastAsia="es-UY"/>
          <w14:ligatures w14:val="none"/>
        </w:rPr>
        <w:t>severa represión de sus propios mandatarios</w:t>
      </w:r>
      <w:r w:rsidRPr="00B004C0">
        <w:rPr>
          <w:rFonts w:ascii="Arial" w:eastAsia="Times New Roman" w:hAnsi="Arial" w:cs="Arial"/>
          <w:color w:val="000000"/>
          <w:kern w:val="0"/>
          <w:lang w:eastAsia="es-UY"/>
          <w14:ligatures w14:val="none"/>
        </w:rPr>
        <w:t xml:space="preserve"> y las implacables restricciones internacionales.</w:t>
      </w:r>
    </w:p>
    <w:p w14:paraId="29A05CAE" w14:textId="77777777" w:rsidR="00B004C0" w:rsidRPr="00B004C0" w:rsidRDefault="00B004C0" w:rsidP="00B004C0">
      <w:pPr>
        <w:shd w:val="clear" w:color="auto" w:fill="FFFFFF"/>
        <w:spacing w:after="0" w:line="240" w:lineRule="auto"/>
        <w:rPr>
          <w:rFonts w:ascii="Arial" w:eastAsia="Times New Roman" w:hAnsi="Arial" w:cs="Arial"/>
          <w:color w:val="222222"/>
          <w:kern w:val="0"/>
          <w:sz w:val="24"/>
          <w:szCs w:val="24"/>
          <w:lang w:eastAsia="es-UY"/>
          <w14:ligatures w14:val="none"/>
        </w:rPr>
      </w:pPr>
      <w:r w:rsidRPr="00B004C0">
        <w:rPr>
          <w:rFonts w:ascii="Arial" w:eastAsia="Times New Roman" w:hAnsi="Arial" w:cs="Arial"/>
          <w:color w:val="000000"/>
          <w:kern w:val="0"/>
          <w:lang w:eastAsia="es-UY"/>
          <w14:ligatures w14:val="none"/>
        </w:rPr>
        <w:t xml:space="preserve">Fuente: </w:t>
      </w:r>
      <w:hyperlink r:id="rId11" w:tgtFrame="_blank" w:history="1">
        <w:r w:rsidRPr="00B004C0">
          <w:rPr>
            <w:rFonts w:ascii="Arial" w:eastAsia="Times New Roman" w:hAnsi="Arial" w:cs="Arial"/>
            <w:color w:val="1155CC"/>
            <w:kern w:val="0"/>
            <w:u w:val="single"/>
            <w:lang w:eastAsia="es-UY"/>
            <w14:ligatures w14:val="none"/>
          </w:rPr>
          <w:t>papernest.es</w:t>
        </w:r>
      </w:hyperlink>
    </w:p>
    <w:p w14:paraId="08105289" w14:textId="77777777" w:rsidR="00B004C0" w:rsidRPr="00B004C0" w:rsidRDefault="00B004C0" w:rsidP="00B004C0">
      <w:pPr>
        <w:shd w:val="clear" w:color="auto" w:fill="FFFFFF"/>
        <w:spacing w:after="0" w:line="240" w:lineRule="auto"/>
        <w:rPr>
          <w:rFonts w:ascii="Arial" w:eastAsia="Times New Roman" w:hAnsi="Arial" w:cs="Arial"/>
          <w:color w:val="222222"/>
          <w:kern w:val="0"/>
          <w:sz w:val="24"/>
          <w:szCs w:val="24"/>
          <w:lang w:eastAsia="es-UY"/>
          <w14:ligatures w14:val="none"/>
        </w:rPr>
      </w:pPr>
    </w:p>
    <w:sectPr w:rsidR="00B004C0" w:rsidRPr="00B004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7685E"/>
    <w:multiLevelType w:val="multilevel"/>
    <w:tmpl w:val="0E64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58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C0"/>
    <w:rsid w:val="00155451"/>
    <w:rsid w:val="00926044"/>
    <w:rsid w:val="00B004C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7B6E"/>
  <w15:chartTrackingRefBased/>
  <w15:docId w15:val="{1DD9E480-489D-4CA8-8613-FD705881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4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4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04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04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04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04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04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4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4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4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4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04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04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04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04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04C0"/>
    <w:rPr>
      <w:rFonts w:eastAsiaTheme="majorEastAsia" w:cstheme="majorBidi"/>
      <w:color w:val="272727" w:themeColor="text1" w:themeTint="D8"/>
    </w:rPr>
  </w:style>
  <w:style w:type="paragraph" w:styleId="Ttulo">
    <w:name w:val="Title"/>
    <w:basedOn w:val="Normal"/>
    <w:next w:val="Normal"/>
    <w:link w:val="TtuloCar"/>
    <w:uiPriority w:val="10"/>
    <w:qFormat/>
    <w:rsid w:val="00B0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4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4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4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04C0"/>
    <w:pPr>
      <w:spacing w:before="160"/>
      <w:jc w:val="center"/>
    </w:pPr>
    <w:rPr>
      <w:i/>
      <w:iCs/>
      <w:color w:val="404040" w:themeColor="text1" w:themeTint="BF"/>
    </w:rPr>
  </w:style>
  <w:style w:type="character" w:customStyle="1" w:styleId="CitaCar">
    <w:name w:val="Cita Car"/>
    <w:basedOn w:val="Fuentedeprrafopredeter"/>
    <w:link w:val="Cita"/>
    <w:uiPriority w:val="29"/>
    <w:rsid w:val="00B004C0"/>
    <w:rPr>
      <w:i/>
      <w:iCs/>
      <w:color w:val="404040" w:themeColor="text1" w:themeTint="BF"/>
    </w:rPr>
  </w:style>
  <w:style w:type="paragraph" w:styleId="Prrafodelista">
    <w:name w:val="List Paragraph"/>
    <w:basedOn w:val="Normal"/>
    <w:uiPriority w:val="34"/>
    <w:qFormat/>
    <w:rsid w:val="00B004C0"/>
    <w:pPr>
      <w:ind w:left="720"/>
      <w:contextualSpacing/>
    </w:pPr>
  </w:style>
  <w:style w:type="character" w:styleId="nfasisintenso">
    <w:name w:val="Intense Emphasis"/>
    <w:basedOn w:val="Fuentedeprrafopredeter"/>
    <w:uiPriority w:val="21"/>
    <w:qFormat/>
    <w:rsid w:val="00B004C0"/>
    <w:rPr>
      <w:i/>
      <w:iCs/>
      <w:color w:val="0F4761" w:themeColor="accent1" w:themeShade="BF"/>
    </w:rPr>
  </w:style>
  <w:style w:type="paragraph" w:styleId="Citadestacada">
    <w:name w:val="Intense Quote"/>
    <w:basedOn w:val="Normal"/>
    <w:next w:val="Normal"/>
    <w:link w:val="CitadestacadaCar"/>
    <w:uiPriority w:val="30"/>
    <w:qFormat/>
    <w:rsid w:val="00B0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4C0"/>
    <w:rPr>
      <w:i/>
      <w:iCs/>
      <w:color w:val="0F4761" w:themeColor="accent1" w:themeShade="BF"/>
    </w:rPr>
  </w:style>
  <w:style w:type="character" w:styleId="Referenciaintensa">
    <w:name w:val="Intense Reference"/>
    <w:basedOn w:val="Fuentedeprrafopredeter"/>
    <w:uiPriority w:val="32"/>
    <w:qFormat/>
    <w:rsid w:val="00B00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instalacion-elect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pernest.es/info/electric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corte-luz/" TargetMode="External"/><Relationship Id="rId11" Type="http://schemas.openxmlformats.org/officeDocument/2006/relationships/hyperlink" Target="http://papernest.es/" TargetMode="External"/><Relationship Id="rId5" Type="http://schemas.openxmlformats.org/officeDocument/2006/relationships/hyperlink" Target="https://www.papernest.es/info/mercado-energetico/" TargetMode="External"/><Relationship Id="rId10" Type="http://schemas.openxmlformats.org/officeDocument/2006/relationships/hyperlink" Target="https://www.papernest.es/energias-renovables/" TargetMode="External"/><Relationship Id="rId4" Type="http://schemas.openxmlformats.org/officeDocument/2006/relationships/webSettings" Target="webSettings.xml"/><Relationship Id="rId9" Type="http://schemas.openxmlformats.org/officeDocument/2006/relationships/hyperlink" Target="https://www.papernest.es/precio-gaso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2026-06-17T18:33:00Z</dcterms:created>
  <dcterms:modified xsi:type="dcterms:W3CDTF">2026-06-17T18:33:00Z</dcterms:modified>
</cp:coreProperties>
</file>