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BCB02" w14:textId="77777777" w:rsidR="002134A5" w:rsidRPr="002134A5" w:rsidRDefault="002134A5" w:rsidP="002134A5">
      <w:pPr>
        <w:spacing w:after="0" w:line="240" w:lineRule="auto"/>
        <w:jc w:val="both"/>
        <w:outlineLvl w:val="0"/>
        <w:rPr>
          <w:rFonts w:ascii="Arial" w:eastAsia="Times New Roman" w:hAnsi="Arial" w:cs="Arial"/>
          <w:b/>
          <w:bCs/>
          <w:color w:val="222222"/>
          <w:kern w:val="36"/>
          <w:sz w:val="48"/>
          <w:szCs w:val="48"/>
          <w:shd w:val="clear" w:color="auto" w:fill="FFFFFF"/>
          <w:lang w:eastAsia="es-UY"/>
          <w14:ligatures w14:val="none"/>
        </w:rPr>
      </w:pPr>
      <w:r w:rsidRPr="002134A5">
        <w:rPr>
          <w:rFonts w:ascii="Arial" w:eastAsia="Times New Roman" w:hAnsi="Arial" w:cs="Arial"/>
          <w:b/>
          <w:bCs/>
          <w:color w:val="1F1F1F"/>
          <w:kern w:val="36"/>
          <w:sz w:val="46"/>
          <w:szCs w:val="46"/>
          <w:lang w:eastAsia="es-UY"/>
          <w14:ligatures w14:val="none"/>
        </w:rPr>
        <w:br/>
        <w:t>El acuerdo de paz entre Estados Unidos e Irán desata una fuerte polémica global tras la reapertura del estrecho de Ormuz</w:t>
      </w:r>
    </w:p>
    <w:p w14:paraId="7FC7F632" w14:textId="77777777" w:rsidR="002134A5" w:rsidRPr="002134A5" w:rsidRDefault="002134A5" w:rsidP="002134A5">
      <w:pPr>
        <w:spacing w:after="0" w:line="240" w:lineRule="auto"/>
        <w:rPr>
          <w:rFonts w:ascii="Arial" w:eastAsia="Times New Roman" w:hAnsi="Arial" w:cs="Arial"/>
          <w:color w:val="222222"/>
          <w:kern w:val="0"/>
          <w:sz w:val="24"/>
          <w:szCs w:val="24"/>
          <w:shd w:val="clear" w:color="auto" w:fill="FFFFFF"/>
          <w:lang w:eastAsia="es-UY"/>
          <w14:ligatures w14:val="none"/>
        </w:rPr>
      </w:pPr>
    </w:p>
    <w:p w14:paraId="353CE0B7" w14:textId="77777777" w:rsidR="002134A5" w:rsidRPr="002134A5" w:rsidRDefault="002134A5" w:rsidP="002134A5">
      <w:pPr>
        <w:spacing w:after="0" w:line="240" w:lineRule="auto"/>
        <w:rPr>
          <w:rFonts w:ascii="Times New Roman" w:eastAsia="Times New Roman" w:hAnsi="Times New Roman" w:cs="Times New Roman"/>
          <w:kern w:val="0"/>
          <w:sz w:val="24"/>
          <w:szCs w:val="24"/>
          <w:lang w:eastAsia="es-UY"/>
          <w14:ligatures w14:val="none"/>
        </w:rPr>
      </w:pPr>
      <w:r w:rsidRPr="002134A5">
        <w:rPr>
          <w:rFonts w:ascii="Arial" w:eastAsia="Times New Roman" w:hAnsi="Arial" w:cs="Arial"/>
          <w:color w:val="222222"/>
          <w:kern w:val="0"/>
          <w:sz w:val="24"/>
          <w:szCs w:val="24"/>
          <w:lang w:eastAsia="es-UY"/>
          <w14:ligatures w14:val="none"/>
        </w:rPr>
        <w:br/>
      </w:r>
    </w:p>
    <w:p w14:paraId="7B858C64" w14:textId="77777777" w:rsidR="002134A5" w:rsidRPr="002134A5" w:rsidRDefault="002134A5" w:rsidP="002134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2134A5">
        <w:rPr>
          <w:rFonts w:ascii="Arial" w:eastAsia="Times New Roman" w:hAnsi="Arial" w:cs="Arial"/>
          <w:color w:val="1F1F1F"/>
          <w:kern w:val="0"/>
          <w:lang w:eastAsia="es-UY"/>
          <w14:ligatures w14:val="none"/>
        </w:rPr>
        <w:t xml:space="preserve">El pacto diplomático alcanzado el 15 de junio de 2026 establece un </w:t>
      </w:r>
      <w:r w:rsidRPr="002134A5">
        <w:rPr>
          <w:rFonts w:ascii="Arial" w:eastAsia="Times New Roman" w:hAnsi="Arial" w:cs="Arial"/>
          <w:b/>
          <w:bCs/>
          <w:color w:val="1F1F1F"/>
          <w:kern w:val="0"/>
          <w:lang w:eastAsia="es-UY"/>
          <w14:ligatures w14:val="none"/>
        </w:rPr>
        <w:t>estricto margen de 60 días para sellar la paz definitiva en Oriente Próximo</w:t>
      </w:r>
      <w:r w:rsidRPr="002134A5">
        <w:rPr>
          <w:rFonts w:ascii="Arial" w:eastAsia="Times New Roman" w:hAnsi="Arial" w:cs="Arial"/>
          <w:color w:val="1F1F1F"/>
          <w:kern w:val="0"/>
          <w:lang w:eastAsia="es-UY"/>
          <w14:ligatures w14:val="none"/>
        </w:rPr>
        <w:t xml:space="preserve">, un anuncio que ha generado posturas encontradas. Mientras los mercados energéticos internacionales celebran la reapertura del estrecho de Ormuz con una caída inmediata en los precios del crudo, la opinión pública cuestiona las verdaderas contrapartidas de esta tregua. La inyección masiva de crudo </w:t>
      </w:r>
      <w:r w:rsidRPr="002134A5">
        <w:rPr>
          <w:rFonts w:ascii="Arial" w:eastAsia="Times New Roman" w:hAnsi="Arial" w:cs="Arial"/>
          <w:b/>
          <w:bCs/>
          <w:color w:val="1F1F1F"/>
          <w:kern w:val="0"/>
          <w:lang w:eastAsia="es-UY"/>
          <w14:ligatures w14:val="none"/>
        </w:rPr>
        <w:t>estabiliza momentáneamente la economía occidental</w:t>
      </w:r>
      <w:r w:rsidRPr="002134A5">
        <w:rPr>
          <w:rFonts w:ascii="Arial" w:eastAsia="Times New Roman" w:hAnsi="Arial" w:cs="Arial"/>
          <w:color w:val="1F1F1F"/>
          <w:kern w:val="0"/>
          <w:lang w:eastAsia="es-UY"/>
          <w14:ligatures w14:val="none"/>
        </w:rPr>
        <w:t>, pero plantea serias dudas sobre la impunidad geopolítica otorgada a cambio de un alivio inflacionario inmediato.</w:t>
      </w:r>
    </w:p>
    <w:p w14:paraId="4D67D635" w14:textId="77777777" w:rsidR="002134A5" w:rsidRPr="002134A5" w:rsidRDefault="002134A5" w:rsidP="002134A5">
      <w:pPr>
        <w:spacing w:after="0" w:line="240" w:lineRule="auto"/>
        <w:rPr>
          <w:rFonts w:ascii="Times New Roman" w:eastAsia="Times New Roman" w:hAnsi="Times New Roman" w:cs="Times New Roman"/>
          <w:kern w:val="0"/>
          <w:sz w:val="24"/>
          <w:szCs w:val="24"/>
          <w:lang w:eastAsia="es-UY"/>
          <w14:ligatures w14:val="none"/>
        </w:rPr>
      </w:pPr>
      <w:r w:rsidRPr="002134A5">
        <w:rPr>
          <w:rFonts w:ascii="Arial" w:eastAsia="Times New Roman" w:hAnsi="Arial" w:cs="Arial"/>
          <w:color w:val="222222"/>
          <w:kern w:val="0"/>
          <w:sz w:val="24"/>
          <w:szCs w:val="24"/>
          <w:lang w:eastAsia="es-UY"/>
          <w14:ligatures w14:val="none"/>
        </w:rPr>
        <w:br/>
      </w:r>
    </w:p>
    <w:p w14:paraId="23918F17" w14:textId="77777777" w:rsidR="002134A5" w:rsidRPr="002134A5" w:rsidRDefault="002134A5" w:rsidP="002134A5">
      <w:pPr>
        <w:shd w:val="clear" w:color="auto" w:fill="FFFFFF"/>
        <w:spacing w:after="0" w:line="240" w:lineRule="auto"/>
        <w:jc w:val="both"/>
        <w:outlineLvl w:val="1"/>
        <w:rPr>
          <w:rFonts w:ascii="Arial" w:eastAsia="Times New Roman" w:hAnsi="Arial" w:cs="Arial"/>
          <w:b/>
          <w:bCs/>
          <w:color w:val="222222"/>
          <w:kern w:val="0"/>
          <w:sz w:val="36"/>
          <w:szCs w:val="36"/>
          <w:lang w:eastAsia="es-UY"/>
          <w14:ligatures w14:val="none"/>
        </w:rPr>
      </w:pPr>
      <w:r w:rsidRPr="002134A5">
        <w:rPr>
          <w:rFonts w:ascii="Arial" w:eastAsia="Times New Roman" w:hAnsi="Arial" w:cs="Arial"/>
          <w:b/>
          <w:bCs/>
          <w:color w:val="1F1F1F"/>
          <w:kern w:val="0"/>
          <w:sz w:val="34"/>
          <w:szCs w:val="34"/>
          <w:lang w:eastAsia="es-UY"/>
          <w14:ligatures w14:val="none"/>
        </w:rPr>
        <w:t>Consecuencias inmediatas del bloqueo marítimo internacional</w:t>
      </w:r>
    </w:p>
    <w:p w14:paraId="222B250C" w14:textId="77777777" w:rsidR="002134A5" w:rsidRPr="002134A5" w:rsidRDefault="002134A5" w:rsidP="002134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2134A5">
        <w:rPr>
          <w:rFonts w:ascii="Arial" w:eastAsia="Times New Roman" w:hAnsi="Arial" w:cs="Arial"/>
          <w:color w:val="1F1F1F"/>
          <w:kern w:val="0"/>
          <w:lang w:eastAsia="es-UY"/>
          <w14:ligatures w14:val="none"/>
        </w:rPr>
        <w:t xml:space="preserve">El restablecimiento del tráfico comercial por una vía donde circula la quinta parte del petróleo del planeta </w:t>
      </w:r>
      <w:r w:rsidRPr="002134A5">
        <w:rPr>
          <w:rFonts w:ascii="Arial" w:eastAsia="Times New Roman" w:hAnsi="Arial" w:cs="Arial"/>
          <w:b/>
          <w:bCs/>
          <w:color w:val="1F1F1F"/>
          <w:kern w:val="0"/>
          <w:lang w:eastAsia="es-UY"/>
          <w14:ligatures w14:val="none"/>
        </w:rPr>
        <w:t>dinamita las proyecciones previas del mercado energético</w:t>
      </w:r>
      <w:r w:rsidRPr="002134A5">
        <w:rPr>
          <w:rFonts w:ascii="Arial" w:eastAsia="Times New Roman" w:hAnsi="Arial" w:cs="Arial"/>
          <w:color w:val="1F1F1F"/>
          <w:kern w:val="0"/>
          <w:lang w:eastAsia="es-UY"/>
          <w14:ligatures w14:val="none"/>
        </w:rPr>
        <w:t>. La brusca caída de la cotización internacional del Brent beneficia a los importadores, aliviando la presión sobre las balanzas comerciales de los países importadores europeos.</w:t>
      </w:r>
    </w:p>
    <w:p w14:paraId="6C38FFF8" w14:textId="77777777" w:rsidR="002134A5" w:rsidRPr="002134A5" w:rsidRDefault="002134A5" w:rsidP="002134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2134A5">
        <w:rPr>
          <w:rFonts w:ascii="Arial" w:eastAsia="Times New Roman" w:hAnsi="Arial" w:cs="Arial"/>
          <w:color w:val="1F1F1F"/>
          <w:kern w:val="0"/>
          <w:lang w:eastAsia="es-UY"/>
          <w14:ligatures w14:val="none"/>
        </w:rPr>
        <w:t xml:space="preserve">No obstante, sectores críticos consideran que </w:t>
      </w:r>
      <w:r w:rsidRPr="002134A5">
        <w:rPr>
          <w:rFonts w:ascii="Arial" w:eastAsia="Times New Roman" w:hAnsi="Arial" w:cs="Arial"/>
          <w:b/>
          <w:bCs/>
          <w:color w:val="1F1F1F"/>
          <w:kern w:val="0"/>
          <w:lang w:eastAsia="es-UY"/>
          <w14:ligatures w14:val="none"/>
        </w:rPr>
        <w:t>esta estabilización económica responde a un oportunismo cortoplacista</w:t>
      </w:r>
      <w:r w:rsidRPr="002134A5">
        <w:rPr>
          <w:rFonts w:ascii="Arial" w:eastAsia="Times New Roman" w:hAnsi="Arial" w:cs="Arial"/>
          <w:color w:val="1F1F1F"/>
          <w:kern w:val="0"/>
          <w:lang w:eastAsia="es-UY"/>
          <w14:ligatures w14:val="none"/>
        </w:rPr>
        <w:t xml:space="preserve"> de Washington. El acuerdo ha sembrado una profunda desconfianza entre los aliados tradicionales de la región, quienes advierten de que legitimar unilateralmente al régimen iraní debilita la seguridad internacional.</w:t>
      </w:r>
    </w:p>
    <w:p w14:paraId="61C0B94A" w14:textId="77777777" w:rsidR="002134A5" w:rsidRPr="002134A5" w:rsidRDefault="002134A5" w:rsidP="002134A5">
      <w:pPr>
        <w:shd w:val="clear" w:color="auto" w:fill="FFFFFF"/>
        <w:spacing w:after="0" w:line="240" w:lineRule="auto"/>
        <w:jc w:val="both"/>
        <w:outlineLvl w:val="1"/>
        <w:rPr>
          <w:rFonts w:ascii="Arial" w:eastAsia="Times New Roman" w:hAnsi="Arial" w:cs="Arial"/>
          <w:b/>
          <w:bCs/>
          <w:color w:val="222222"/>
          <w:kern w:val="0"/>
          <w:sz w:val="36"/>
          <w:szCs w:val="36"/>
          <w:lang w:eastAsia="es-UY"/>
          <w14:ligatures w14:val="none"/>
        </w:rPr>
      </w:pPr>
      <w:r w:rsidRPr="002134A5">
        <w:rPr>
          <w:rFonts w:ascii="Arial" w:eastAsia="Times New Roman" w:hAnsi="Arial" w:cs="Arial"/>
          <w:b/>
          <w:bCs/>
          <w:color w:val="1F1F1F"/>
          <w:kern w:val="0"/>
          <w:sz w:val="34"/>
          <w:szCs w:val="34"/>
          <w:lang w:eastAsia="es-UY"/>
          <w14:ligatures w14:val="none"/>
        </w:rPr>
        <w:t>Impacto directo en la transición energética y el consumo</w:t>
      </w:r>
    </w:p>
    <w:p w14:paraId="399130D0" w14:textId="77777777" w:rsidR="002134A5" w:rsidRPr="002134A5" w:rsidRDefault="002134A5" w:rsidP="002134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2134A5">
        <w:rPr>
          <w:rFonts w:ascii="Arial" w:eastAsia="Times New Roman" w:hAnsi="Arial" w:cs="Arial"/>
          <w:color w:val="1F1F1F"/>
          <w:kern w:val="0"/>
          <w:lang w:eastAsia="es-UY"/>
          <w14:ligatures w14:val="none"/>
        </w:rPr>
        <w:t xml:space="preserve">La drástica bajada de los combustibles fósiles </w:t>
      </w:r>
      <w:r w:rsidRPr="002134A5">
        <w:rPr>
          <w:rFonts w:ascii="Arial" w:eastAsia="Times New Roman" w:hAnsi="Arial" w:cs="Arial"/>
          <w:b/>
          <w:bCs/>
          <w:color w:val="1F1F1F"/>
          <w:kern w:val="0"/>
          <w:lang w:eastAsia="es-UY"/>
          <w14:ligatures w14:val="none"/>
        </w:rPr>
        <w:t>amenaza con desincentivar las inversiones en infraestructuras renovables</w:t>
      </w:r>
      <w:r w:rsidRPr="002134A5">
        <w:rPr>
          <w:rFonts w:ascii="Arial" w:eastAsia="Times New Roman" w:hAnsi="Arial" w:cs="Arial"/>
          <w:color w:val="1F1F1F"/>
          <w:kern w:val="0"/>
          <w:lang w:eastAsia="es-UY"/>
          <w14:ligatures w14:val="none"/>
        </w:rPr>
        <w:t xml:space="preserve"> ya proyectadas. En este entorno, los usuarios particulares que buscan gestionar de forma óptima sus contratos en plataformas de</w:t>
      </w:r>
      <w:hyperlink r:id="rId5" w:tgtFrame="_blank" w:history="1">
        <w:r w:rsidRPr="002134A5">
          <w:rPr>
            <w:rFonts w:ascii="Arial" w:eastAsia="Times New Roman" w:hAnsi="Arial" w:cs="Arial"/>
            <w:color w:val="1F1F1F"/>
            <w:kern w:val="0"/>
            <w:lang w:eastAsia="es-UY"/>
            <w14:ligatures w14:val="none"/>
          </w:rPr>
          <w:t xml:space="preserve"> </w:t>
        </w:r>
        <w:r w:rsidRPr="002134A5">
          <w:rPr>
            <w:rFonts w:ascii="Arial" w:eastAsia="Times New Roman" w:hAnsi="Arial" w:cs="Arial"/>
            <w:color w:val="1F1F1F"/>
            <w:kern w:val="0"/>
            <w:u w:val="single"/>
            <w:lang w:eastAsia="es-UY"/>
            <w14:ligatures w14:val="none"/>
          </w:rPr>
          <w:t>gestión de servicios</w:t>
        </w:r>
      </w:hyperlink>
      <w:r w:rsidRPr="002134A5">
        <w:rPr>
          <w:rFonts w:ascii="Arial" w:eastAsia="Times New Roman" w:hAnsi="Arial" w:cs="Arial"/>
          <w:color w:val="1F1F1F"/>
          <w:kern w:val="0"/>
          <w:lang w:eastAsia="es-UY"/>
          <w14:ligatures w14:val="none"/>
        </w:rPr>
        <w:t xml:space="preserve"> se enfrentan a una paradoja de tarifas debido a la inestabilidad regulatoria consecuente.</w:t>
      </w:r>
    </w:p>
    <w:p w14:paraId="120A68BE" w14:textId="77777777" w:rsidR="002134A5" w:rsidRPr="002134A5" w:rsidRDefault="002134A5" w:rsidP="002134A5">
      <w:pPr>
        <w:spacing w:after="0" w:line="240" w:lineRule="auto"/>
        <w:rPr>
          <w:rFonts w:ascii="Times New Roman" w:eastAsia="Times New Roman" w:hAnsi="Times New Roman" w:cs="Times New Roman"/>
          <w:kern w:val="0"/>
          <w:sz w:val="24"/>
          <w:szCs w:val="24"/>
          <w:lang w:eastAsia="es-UY"/>
          <w14:ligatures w14:val="none"/>
        </w:rPr>
      </w:pPr>
      <w:r w:rsidRPr="002134A5">
        <w:rPr>
          <w:rFonts w:ascii="Arial" w:eastAsia="Times New Roman" w:hAnsi="Arial" w:cs="Arial"/>
          <w:color w:val="222222"/>
          <w:kern w:val="0"/>
          <w:sz w:val="24"/>
          <w:szCs w:val="24"/>
          <w:lang w:eastAsia="es-UY"/>
          <w14:ligatures w14:val="none"/>
        </w:rPr>
        <w:br/>
      </w:r>
    </w:p>
    <w:p w14:paraId="3460F7F2" w14:textId="77777777" w:rsidR="002134A5" w:rsidRPr="002134A5" w:rsidRDefault="002134A5" w:rsidP="002134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2134A5">
        <w:rPr>
          <w:rFonts w:ascii="Arial" w:eastAsia="Times New Roman" w:hAnsi="Arial" w:cs="Arial"/>
          <w:color w:val="1F1F1F"/>
          <w:kern w:val="0"/>
          <w:lang w:eastAsia="es-UY"/>
          <w14:ligatures w14:val="none"/>
        </w:rPr>
        <w:t>Esta bajada artificial del precio de los hidrocarburos no frena la urgencia climática, obligando a los usuarios domésticos a informarse sobre cómo</w:t>
      </w:r>
      <w:hyperlink r:id="rId6" w:tgtFrame="_blank" w:history="1">
        <w:r w:rsidRPr="002134A5">
          <w:rPr>
            <w:rFonts w:ascii="Arial" w:eastAsia="Times New Roman" w:hAnsi="Arial" w:cs="Arial"/>
            <w:color w:val="1F1F1F"/>
            <w:kern w:val="0"/>
            <w:lang w:eastAsia="es-UY"/>
            <w14:ligatures w14:val="none"/>
          </w:rPr>
          <w:t xml:space="preserve"> </w:t>
        </w:r>
        <w:r w:rsidRPr="002134A5">
          <w:rPr>
            <w:rFonts w:ascii="Arial" w:eastAsia="Times New Roman" w:hAnsi="Arial" w:cs="Arial"/>
            <w:color w:val="1F1F1F"/>
            <w:kern w:val="0"/>
            <w:u w:val="single"/>
            <w:lang w:eastAsia="es-UY"/>
            <w14:ligatures w14:val="none"/>
          </w:rPr>
          <w:t>bajar el gasto de luz y gas</w:t>
        </w:r>
      </w:hyperlink>
      <w:r w:rsidRPr="002134A5">
        <w:rPr>
          <w:rFonts w:ascii="Arial" w:eastAsia="Times New Roman" w:hAnsi="Arial" w:cs="Arial"/>
          <w:color w:val="1F1F1F"/>
          <w:kern w:val="0"/>
          <w:lang w:eastAsia="es-UY"/>
          <w14:ligatures w14:val="none"/>
        </w:rPr>
        <w:t xml:space="preserve"> para no </w:t>
      </w:r>
      <w:r w:rsidRPr="002134A5">
        <w:rPr>
          <w:rFonts w:ascii="Arial" w:eastAsia="Times New Roman" w:hAnsi="Arial" w:cs="Arial"/>
          <w:b/>
          <w:bCs/>
          <w:color w:val="1F1F1F"/>
          <w:kern w:val="0"/>
          <w:lang w:eastAsia="es-UY"/>
          <w14:ligatures w14:val="none"/>
        </w:rPr>
        <w:t>perpetuar un modelo de dependencia fósil</w:t>
      </w:r>
      <w:r w:rsidRPr="002134A5">
        <w:rPr>
          <w:rFonts w:ascii="Arial" w:eastAsia="Times New Roman" w:hAnsi="Arial" w:cs="Arial"/>
          <w:color w:val="1F1F1F"/>
          <w:kern w:val="0"/>
          <w:lang w:eastAsia="es-UY"/>
          <w14:ligatures w14:val="none"/>
        </w:rPr>
        <w:t>. El verdadero debate se centra ahora en si los gobiernos mantendrán sus subsidios verdes ante la tentación de la energía barata.</w:t>
      </w:r>
    </w:p>
    <w:p w14:paraId="0714DE3A" w14:textId="77777777" w:rsidR="002134A5" w:rsidRPr="002134A5" w:rsidRDefault="002134A5" w:rsidP="002134A5">
      <w:pPr>
        <w:spacing w:after="0" w:line="240" w:lineRule="auto"/>
        <w:rPr>
          <w:rFonts w:ascii="Times New Roman" w:eastAsia="Times New Roman" w:hAnsi="Times New Roman" w:cs="Times New Roman"/>
          <w:kern w:val="0"/>
          <w:sz w:val="24"/>
          <w:szCs w:val="24"/>
          <w:lang w:eastAsia="es-UY"/>
          <w14:ligatures w14:val="none"/>
        </w:rPr>
      </w:pPr>
      <w:r w:rsidRPr="002134A5">
        <w:rPr>
          <w:rFonts w:ascii="Arial" w:eastAsia="Times New Roman" w:hAnsi="Arial" w:cs="Arial"/>
          <w:color w:val="222222"/>
          <w:kern w:val="0"/>
          <w:sz w:val="24"/>
          <w:szCs w:val="24"/>
          <w:lang w:eastAsia="es-UY"/>
          <w14:ligatures w14:val="none"/>
        </w:rPr>
        <w:br/>
      </w:r>
    </w:p>
    <w:p w14:paraId="469E0C58" w14:textId="77777777" w:rsidR="002134A5" w:rsidRPr="002134A5" w:rsidRDefault="002134A5" w:rsidP="002134A5">
      <w:pPr>
        <w:shd w:val="clear" w:color="auto" w:fill="FFFFFF"/>
        <w:spacing w:after="0" w:line="240" w:lineRule="auto"/>
        <w:jc w:val="both"/>
        <w:outlineLvl w:val="1"/>
        <w:rPr>
          <w:rFonts w:ascii="Arial" w:eastAsia="Times New Roman" w:hAnsi="Arial" w:cs="Arial"/>
          <w:b/>
          <w:bCs/>
          <w:color w:val="222222"/>
          <w:kern w:val="0"/>
          <w:sz w:val="36"/>
          <w:szCs w:val="36"/>
          <w:lang w:eastAsia="es-UY"/>
          <w14:ligatures w14:val="none"/>
        </w:rPr>
      </w:pPr>
      <w:r w:rsidRPr="002134A5">
        <w:rPr>
          <w:rFonts w:ascii="Arial" w:eastAsia="Times New Roman" w:hAnsi="Arial" w:cs="Arial"/>
          <w:b/>
          <w:bCs/>
          <w:color w:val="1F1F1F"/>
          <w:kern w:val="0"/>
          <w:sz w:val="34"/>
          <w:szCs w:val="34"/>
          <w:lang w:eastAsia="es-UY"/>
          <w14:ligatures w14:val="none"/>
        </w:rPr>
        <w:lastRenderedPageBreak/>
        <w:t>Reconfiguración del mercado minorista y sostenibilidad</w:t>
      </w:r>
    </w:p>
    <w:p w14:paraId="384C6B6E" w14:textId="77777777" w:rsidR="002134A5" w:rsidRPr="002134A5" w:rsidRDefault="002134A5" w:rsidP="002134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2134A5">
        <w:rPr>
          <w:rFonts w:ascii="Arial" w:eastAsia="Times New Roman" w:hAnsi="Arial" w:cs="Arial"/>
          <w:color w:val="1F1F1F"/>
          <w:kern w:val="0"/>
          <w:lang w:eastAsia="es-UY"/>
          <w14:ligatures w14:val="none"/>
        </w:rPr>
        <w:t xml:space="preserve">La nueva oferta del sector obliga a los consumidores a </w:t>
      </w:r>
      <w:r w:rsidRPr="002134A5">
        <w:rPr>
          <w:rFonts w:ascii="Arial" w:eastAsia="Times New Roman" w:hAnsi="Arial" w:cs="Arial"/>
          <w:b/>
          <w:bCs/>
          <w:color w:val="1F1F1F"/>
          <w:kern w:val="0"/>
          <w:lang w:eastAsia="es-UY"/>
          <w14:ligatures w14:val="none"/>
        </w:rPr>
        <w:t>monitorizar de cerca las ofertas vigentes</w:t>
      </w:r>
      <w:r w:rsidRPr="002134A5">
        <w:rPr>
          <w:rFonts w:ascii="Arial" w:eastAsia="Times New Roman" w:hAnsi="Arial" w:cs="Arial"/>
          <w:color w:val="1F1F1F"/>
          <w:kern w:val="0"/>
          <w:lang w:eastAsia="es-UY"/>
          <w14:ligatures w14:val="none"/>
        </w:rPr>
        <w:t xml:space="preserve"> a través de medidas estratégicas:</w:t>
      </w:r>
    </w:p>
    <w:p w14:paraId="66C21E2B" w14:textId="77777777" w:rsidR="002134A5" w:rsidRPr="002134A5" w:rsidRDefault="002134A5" w:rsidP="002134A5">
      <w:pPr>
        <w:numPr>
          <w:ilvl w:val="0"/>
          <w:numId w:val="1"/>
        </w:numPr>
        <w:spacing w:after="0" w:line="240" w:lineRule="auto"/>
        <w:ind w:left="945"/>
        <w:jc w:val="both"/>
        <w:textAlignment w:val="baseline"/>
        <w:rPr>
          <w:rFonts w:ascii="Arial" w:eastAsia="Times New Roman" w:hAnsi="Arial" w:cs="Arial"/>
          <w:color w:val="1F1F1F"/>
          <w:kern w:val="0"/>
          <w:lang w:eastAsia="es-UY"/>
          <w14:ligatures w14:val="none"/>
        </w:rPr>
      </w:pPr>
      <w:r w:rsidRPr="002134A5">
        <w:rPr>
          <w:rFonts w:ascii="Arial" w:eastAsia="Times New Roman" w:hAnsi="Arial" w:cs="Arial"/>
          <w:color w:val="1F1F1F"/>
          <w:kern w:val="0"/>
          <w:lang w:eastAsia="es-UY"/>
          <w14:ligatures w14:val="none"/>
        </w:rPr>
        <w:t>Para salvaguardar la economía familiar en plena transición, se vuelve indispensable recurrir a herramientas técnicas como un</w:t>
      </w:r>
      <w:hyperlink r:id="rId7" w:tgtFrame="_blank" w:history="1">
        <w:r w:rsidRPr="002134A5">
          <w:rPr>
            <w:rFonts w:ascii="Arial" w:eastAsia="Times New Roman" w:hAnsi="Arial" w:cs="Arial"/>
            <w:color w:val="1F1F1F"/>
            <w:kern w:val="0"/>
            <w:lang w:eastAsia="es-UY"/>
            <w14:ligatures w14:val="none"/>
          </w:rPr>
          <w:t xml:space="preserve"> </w:t>
        </w:r>
        <w:r w:rsidRPr="002134A5">
          <w:rPr>
            <w:rFonts w:ascii="Arial" w:eastAsia="Times New Roman" w:hAnsi="Arial" w:cs="Arial"/>
            <w:color w:val="1F1F1F"/>
            <w:kern w:val="0"/>
            <w:u w:val="single"/>
            <w:lang w:eastAsia="es-UY"/>
            <w14:ligatures w14:val="none"/>
          </w:rPr>
          <w:t>buscador de tarifas de gas</w:t>
        </w:r>
      </w:hyperlink>
      <w:r w:rsidRPr="002134A5">
        <w:rPr>
          <w:rFonts w:ascii="Arial" w:eastAsia="Times New Roman" w:hAnsi="Arial" w:cs="Arial"/>
          <w:color w:val="1F1F1F"/>
          <w:kern w:val="0"/>
          <w:lang w:eastAsia="es-UY"/>
          <w14:ligatures w14:val="none"/>
        </w:rPr>
        <w:t xml:space="preserve"> para </w:t>
      </w:r>
      <w:r w:rsidRPr="002134A5">
        <w:rPr>
          <w:rFonts w:ascii="Arial" w:eastAsia="Times New Roman" w:hAnsi="Arial" w:cs="Arial"/>
          <w:b/>
          <w:bCs/>
          <w:color w:val="1F1F1F"/>
          <w:kern w:val="0"/>
          <w:lang w:eastAsia="es-UY"/>
          <w14:ligatures w14:val="none"/>
        </w:rPr>
        <w:t>asegurar tarifas estables frente a las previsibles fluctuaciones</w:t>
      </w:r>
      <w:r w:rsidRPr="002134A5">
        <w:rPr>
          <w:rFonts w:ascii="Arial" w:eastAsia="Times New Roman" w:hAnsi="Arial" w:cs="Arial"/>
          <w:color w:val="1F1F1F"/>
          <w:kern w:val="0"/>
          <w:lang w:eastAsia="es-UY"/>
          <w14:ligatures w14:val="none"/>
        </w:rPr>
        <w:t xml:space="preserve"> del gas natural importado.</w:t>
      </w:r>
    </w:p>
    <w:p w14:paraId="400C5534" w14:textId="77777777" w:rsidR="002134A5" w:rsidRPr="002134A5" w:rsidRDefault="002134A5" w:rsidP="002134A5">
      <w:pPr>
        <w:numPr>
          <w:ilvl w:val="0"/>
          <w:numId w:val="1"/>
        </w:numPr>
        <w:spacing w:after="0" w:line="240" w:lineRule="auto"/>
        <w:ind w:left="945"/>
        <w:jc w:val="both"/>
        <w:textAlignment w:val="baseline"/>
        <w:rPr>
          <w:rFonts w:ascii="Arial" w:eastAsia="Times New Roman" w:hAnsi="Arial" w:cs="Arial"/>
          <w:color w:val="1F1F1F"/>
          <w:kern w:val="0"/>
          <w:lang w:eastAsia="es-UY"/>
          <w14:ligatures w14:val="none"/>
        </w:rPr>
      </w:pPr>
      <w:r w:rsidRPr="002134A5">
        <w:rPr>
          <w:rFonts w:ascii="Arial" w:eastAsia="Times New Roman" w:hAnsi="Arial" w:cs="Arial"/>
          <w:color w:val="1F1F1F"/>
          <w:kern w:val="0"/>
          <w:lang w:eastAsia="es-UY"/>
          <w14:ligatures w14:val="none"/>
        </w:rPr>
        <w:t xml:space="preserve">A largo plazo, las normativas medioambientales seguirán exigiendo el </w:t>
      </w:r>
      <w:r w:rsidRPr="002134A5">
        <w:rPr>
          <w:rFonts w:ascii="Arial" w:eastAsia="Times New Roman" w:hAnsi="Arial" w:cs="Arial"/>
          <w:b/>
          <w:bCs/>
          <w:color w:val="1F1F1F"/>
          <w:kern w:val="0"/>
          <w:lang w:eastAsia="es-UY"/>
          <w14:ligatures w14:val="none"/>
        </w:rPr>
        <w:t>control riguroso de las</w:t>
      </w:r>
      <w:hyperlink r:id="rId8" w:tgtFrame="_blank" w:history="1">
        <w:r w:rsidRPr="002134A5">
          <w:rPr>
            <w:rFonts w:ascii="Arial" w:eastAsia="Times New Roman" w:hAnsi="Arial" w:cs="Arial"/>
            <w:b/>
            <w:bCs/>
            <w:color w:val="1F1F1F"/>
            <w:kern w:val="0"/>
            <w:lang w:eastAsia="es-UY"/>
            <w14:ligatures w14:val="none"/>
          </w:rPr>
          <w:t xml:space="preserve"> </w:t>
        </w:r>
        <w:r w:rsidRPr="002134A5">
          <w:rPr>
            <w:rFonts w:ascii="Arial" w:eastAsia="Times New Roman" w:hAnsi="Arial" w:cs="Arial"/>
            <w:b/>
            <w:bCs/>
            <w:color w:val="1F1F1F"/>
            <w:kern w:val="0"/>
            <w:u w:val="single"/>
            <w:lang w:eastAsia="es-UY"/>
            <w14:ligatures w14:val="none"/>
          </w:rPr>
          <w:t>emisiones contaminantes</w:t>
        </w:r>
      </w:hyperlink>
      <w:r w:rsidRPr="002134A5">
        <w:rPr>
          <w:rFonts w:ascii="Arial" w:eastAsia="Times New Roman" w:hAnsi="Arial" w:cs="Arial"/>
          <w:color w:val="1F1F1F"/>
          <w:kern w:val="0"/>
          <w:lang w:eastAsia="es-UY"/>
          <w14:ligatures w14:val="none"/>
        </w:rPr>
        <w:t xml:space="preserve"> de particulares y empresas.</w:t>
      </w:r>
    </w:p>
    <w:p w14:paraId="342D6FDA" w14:textId="77777777" w:rsidR="002134A5" w:rsidRPr="002134A5" w:rsidRDefault="002134A5" w:rsidP="002134A5">
      <w:pPr>
        <w:numPr>
          <w:ilvl w:val="0"/>
          <w:numId w:val="1"/>
        </w:numPr>
        <w:spacing w:after="0" w:line="240" w:lineRule="auto"/>
        <w:ind w:left="945"/>
        <w:jc w:val="both"/>
        <w:textAlignment w:val="baseline"/>
        <w:rPr>
          <w:rFonts w:ascii="Arial" w:eastAsia="Times New Roman" w:hAnsi="Arial" w:cs="Arial"/>
          <w:color w:val="1F1F1F"/>
          <w:kern w:val="0"/>
          <w:lang w:eastAsia="es-UY"/>
          <w14:ligatures w14:val="none"/>
        </w:rPr>
      </w:pPr>
      <w:r w:rsidRPr="002134A5">
        <w:rPr>
          <w:rFonts w:ascii="Arial" w:eastAsia="Times New Roman" w:hAnsi="Arial" w:cs="Arial"/>
          <w:color w:val="1F1F1F"/>
          <w:kern w:val="0"/>
          <w:lang w:eastAsia="es-UY"/>
          <w14:ligatures w14:val="none"/>
        </w:rPr>
        <w:t>El análisis pormenorizado provisto por Papernest ayuda a descifrar cuál es el</w:t>
      </w:r>
      <w:hyperlink r:id="rId9" w:tgtFrame="_blank" w:history="1">
        <w:r w:rsidRPr="002134A5">
          <w:rPr>
            <w:rFonts w:ascii="Arial" w:eastAsia="Times New Roman" w:hAnsi="Arial" w:cs="Arial"/>
            <w:color w:val="1F1F1F"/>
            <w:kern w:val="0"/>
            <w:lang w:eastAsia="es-UY"/>
            <w14:ligatures w14:val="none"/>
          </w:rPr>
          <w:t xml:space="preserve"> </w:t>
        </w:r>
        <w:r w:rsidRPr="002134A5">
          <w:rPr>
            <w:rFonts w:ascii="Arial" w:eastAsia="Times New Roman" w:hAnsi="Arial" w:cs="Arial"/>
            <w:color w:val="1F1F1F"/>
            <w:kern w:val="0"/>
            <w:u w:val="single"/>
            <w:lang w:eastAsia="es-UY"/>
            <w14:ligatures w14:val="none"/>
          </w:rPr>
          <w:t>proveedor de luz más económico</w:t>
        </w:r>
      </w:hyperlink>
      <w:r w:rsidRPr="002134A5">
        <w:rPr>
          <w:rFonts w:ascii="Arial" w:eastAsia="Times New Roman" w:hAnsi="Arial" w:cs="Arial"/>
          <w:color w:val="1F1F1F"/>
          <w:kern w:val="0"/>
          <w:lang w:eastAsia="es-UY"/>
          <w14:ligatures w14:val="none"/>
        </w:rPr>
        <w:t xml:space="preserve"> para </w:t>
      </w:r>
      <w:r w:rsidRPr="002134A5">
        <w:rPr>
          <w:rFonts w:ascii="Arial" w:eastAsia="Times New Roman" w:hAnsi="Arial" w:cs="Arial"/>
          <w:b/>
          <w:bCs/>
          <w:color w:val="1F1F1F"/>
          <w:kern w:val="0"/>
          <w:lang w:eastAsia="es-UY"/>
          <w14:ligatures w14:val="none"/>
        </w:rPr>
        <w:t>sortear los vaivenes de un mercado globalizado</w:t>
      </w:r>
      <w:r w:rsidRPr="002134A5">
        <w:rPr>
          <w:rFonts w:ascii="Arial" w:eastAsia="Times New Roman" w:hAnsi="Arial" w:cs="Arial"/>
          <w:color w:val="1F1F1F"/>
          <w:kern w:val="0"/>
          <w:lang w:eastAsia="es-UY"/>
          <w14:ligatures w14:val="none"/>
        </w:rPr>
        <w:t xml:space="preserve"> atrapado en constantes tensiones políticas y diplomáticas.</w:t>
      </w:r>
    </w:p>
    <w:p w14:paraId="4E28CE5E" w14:textId="77777777" w:rsidR="002134A5" w:rsidRPr="002134A5" w:rsidRDefault="002134A5" w:rsidP="002134A5">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0E81D3A1" w14:textId="77777777" w:rsidR="002134A5" w:rsidRPr="002134A5" w:rsidRDefault="002134A5" w:rsidP="002134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2134A5">
        <w:rPr>
          <w:rFonts w:ascii="Arial" w:eastAsia="Times New Roman" w:hAnsi="Arial" w:cs="Arial"/>
          <w:color w:val="1F1F1F"/>
          <w:kern w:val="0"/>
          <w:lang w:eastAsia="es-UY"/>
          <w14:ligatures w14:val="none"/>
        </w:rPr>
        <w:t xml:space="preserve">Fuente: </w:t>
      </w:r>
      <w:hyperlink r:id="rId10" w:tgtFrame="_blank" w:history="1">
        <w:r w:rsidRPr="002134A5">
          <w:rPr>
            <w:rFonts w:ascii="Arial" w:eastAsia="Times New Roman" w:hAnsi="Arial" w:cs="Arial"/>
            <w:color w:val="1155CC"/>
            <w:kern w:val="0"/>
            <w:u w:val="single"/>
            <w:lang w:eastAsia="es-UY"/>
            <w14:ligatures w14:val="none"/>
          </w:rPr>
          <w:t>papernest.es</w:t>
        </w:r>
      </w:hyperlink>
    </w:p>
    <w:p w14:paraId="5DD6E898"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77E86"/>
    <w:multiLevelType w:val="multilevel"/>
    <w:tmpl w:val="F9F2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8654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4A5"/>
    <w:rsid w:val="002134A5"/>
    <w:rsid w:val="003F4895"/>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15122"/>
  <w15:chartTrackingRefBased/>
  <w15:docId w15:val="{41B78405-DFBC-4CDE-AFFF-73110774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13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13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134A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134A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134A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134A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34A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34A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34A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34A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134A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134A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134A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134A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134A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34A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34A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34A5"/>
    <w:rPr>
      <w:rFonts w:eastAsiaTheme="majorEastAsia" w:cstheme="majorBidi"/>
      <w:color w:val="272727" w:themeColor="text1" w:themeTint="D8"/>
    </w:rPr>
  </w:style>
  <w:style w:type="paragraph" w:styleId="Ttulo">
    <w:name w:val="Title"/>
    <w:basedOn w:val="Normal"/>
    <w:next w:val="Normal"/>
    <w:link w:val="TtuloCar"/>
    <w:uiPriority w:val="10"/>
    <w:qFormat/>
    <w:rsid w:val="00213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34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34A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34A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34A5"/>
    <w:pPr>
      <w:spacing w:before="160"/>
      <w:jc w:val="center"/>
    </w:pPr>
    <w:rPr>
      <w:i/>
      <w:iCs/>
      <w:color w:val="404040" w:themeColor="text1" w:themeTint="BF"/>
    </w:rPr>
  </w:style>
  <w:style w:type="character" w:customStyle="1" w:styleId="CitaCar">
    <w:name w:val="Cita Car"/>
    <w:basedOn w:val="Fuentedeprrafopredeter"/>
    <w:link w:val="Cita"/>
    <w:uiPriority w:val="29"/>
    <w:rsid w:val="002134A5"/>
    <w:rPr>
      <w:i/>
      <w:iCs/>
      <w:color w:val="404040" w:themeColor="text1" w:themeTint="BF"/>
    </w:rPr>
  </w:style>
  <w:style w:type="paragraph" w:styleId="Prrafodelista">
    <w:name w:val="List Paragraph"/>
    <w:basedOn w:val="Normal"/>
    <w:uiPriority w:val="34"/>
    <w:qFormat/>
    <w:rsid w:val="002134A5"/>
    <w:pPr>
      <w:ind w:left="720"/>
      <w:contextualSpacing/>
    </w:pPr>
  </w:style>
  <w:style w:type="character" w:styleId="nfasisintenso">
    <w:name w:val="Intense Emphasis"/>
    <w:basedOn w:val="Fuentedeprrafopredeter"/>
    <w:uiPriority w:val="21"/>
    <w:qFormat/>
    <w:rsid w:val="002134A5"/>
    <w:rPr>
      <w:i/>
      <w:iCs/>
      <w:color w:val="0F4761" w:themeColor="accent1" w:themeShade="BF"/>
    </w:rPr>
  </w:style>
  <w:style w:type="paragraph" w:styleId="Citadestacada">
    <w:name w:val="Intense Quote"/>
    <w:basedOn w:val="Normal"/>
    <w:next w:val="Normal"/>
    <w:link w:val="CitadestacadaCar"/>
    <w:uiPriority w:val="30"/>
    <w:qFormat/>
    <w:rsid w:val="00213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134A5"/>
    <w:rPr>
      <w:i/>
      <w:iCs/>
      <w:color w:val="0F4761" w:themeColor="accent1" w:themeShade="BF"/>
    </w:rPr>
  </w:style>
  <w:style w:type="character" w:styleId="Referenciaintensa">
    <w:name w:val="Intense Reference"/>
    <w:basedOn w:val="Fuentedeprrafopredeter"/>
    <w:uiPriority w:val="32"/>
    <w:qFormat/>
    <w:rsid w:val="002134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pernest.es/info/huella-carbono/" TargetMode="External"/><Relationship Id="rId3" Type="http://schemas.openxmlformats.org/officeDocument/2006/relationships/settings" Target="settings.xml"/><Relationship Id="rId7" Type="http://schemas.openxmlformats.org/officeDocument/2006/relationships/hyperlink" Target="http://papernest.es/comparador-gas/comercializadoras-mas-barata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pernest.es/info/reducir-consumo-energetico/" TargetMode="External"/><Relationship Id="rId11" Type="http://schemas.openxmlformats.org/officeDocument/2006/relationships/fontTable" Target="fontTable.xml"/><Relationship Id="rId5" Type="http://schemas.openxmlformats.org/officeDocument/2006/relationships/hyperlink" Target="https://www.papernest.es/" TargetMode="External"/><Relationship Id="rId10" Type="http://schemas.openxmlformats.org/officeDocument/2006/relationships/hyperlink" Target="http://papernest.es/" TargetMode="External"/><Relationship Id="rId4" Type="http://schemas.openxmlformats.org/officeDocument/2006/relationships/webSettings" Target="webSettings.xml"/><Relationship Id="rId9" Type="http://schemas.openxmlformats.org/officeDocument/2006/relationships/hyperlink" Target="http://papernest.es/compania-mas-barata/mejor-compania-electr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2969</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2026-06-23T15:13:00Z</dcterms:created>
  <dcterms:modified xsi:type="dcterms:W3CDTF">2026-06-23T15:13:00Z</dcterms:modified>
</cp:coreProperties>
</file>