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61F2" w14:textId="77777777" w:rsidR="00130B51" w:rsidRPr="00130B51" w:rsidRDefault="00130B51" w:rsidP="00130B51">
      <w:pPr>
        <w:shd w:val="clear" w:color="auto" w:fill="FFFFFF"/>
        <w:spacing w:before="240" w:after="240" w:line="240" w:lineRule="auto"/>
        <w:jc w:val="center"/>
        <w:outlineLvl w:val="0"/>
        <w:rPr>
          <w:rFonts w:ascii="Arial" w:eastAsia="Times New Roman" w:hAnsi="Arial" w:cs="Arial"/>
          <w:b/>
          <w:bCs/>
          <w:color w:val="222222"/>
          <w:kern w:val="36"/>
          <w:sz w:val="48"/>
          <w:szCs w:val="48"/>
          <w:lang w:eastAsia="es-UY"/>
          <w14:ligatures w14:val="none"/>
        </w:rPr>
      </w:pPr>
      <w:r w:rsidRPr="00130B51">
        <w:rPr>
          <w:rFonts w:ascii="Arial" w:eastAsia="Times New Roman" w:hAnsi="Arial" w:cs="Arial"/>
          <w:b/>
          <w:bCs/>
          <w:color w:val="000000"/>
          <w:kern w:val="36"/>
          <w:sz w:val="40"/>
          <w:szCs w:val="40"/>
          <w:lang w:eastAsia="es-UY"/>
          <w14:ligatures w14:val="none"/>
        </w:rPr>
        <w:t>El 10% con mayores ingresos causa la mitad de la contaminación mundial y desata pérdidas billonarias</w:t>
      </w:r>
    </w:p>
    <w:p w14:paraId="4AB78A08" w14:textId="77777777" w:rsidR="00130B51" w:rsidRPr="00130B51" w:rsidRDefault="00130B51" w:rsidP="00130B51">
      <w:pPr>
        <w:spacing w:after="0" w:line="240" w:lineRule="auto"/>
        <w:jc w:val="both"/>
        <w:rPr>
          <w:rFonts w:ascii="Times New Roman" w:eastAsia="Times New Roman" w:hAnsi="Times New Roman" w:cs="Times New Roman"/>
          <w:kern w:val="0"/>
          <w:sz w:val="24"/>
          <w:szCs w:val="24"/>
          <w:lang w:eastAsia="es-UY"/>
          <w14:ligatures w14:val="none"/>
        </w:rPr>
      </w:pPr>
      <w:r w:rsidRPr="00130B51">
        <w:rPr>
          <w:rFonts w:ascii="Arial" w:eastAsia="Times New Roman" w:hAnsi="Arial" w:cs="Arial"/>
          <w:color w:val="222222"/>
          <w:kern w:val="0"/>
          <w:sz w:val="24"/>
          <w:szCs w:val="24"/>
          <w:lang w:eastAsia="es-UY"/>
          <w14:ligatures w14:val="none"/>
        </w:rPr>
        <w:br/>
      </w:r>
    </w:p>
    <w:p w14:paraId="7E373E54" w14:textId="77777777" w:rsidR="00130B51" w:rsidRPr="00130B51" w:rsidRDefault="00130B51" w:rsidP="00130B5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30B51">
        <w:rPr>
          <w:rFonts w:ascii="Arial" w:eastAsia="Times New Roman" w:hAnsi="Arial" w:cs="Arial"/>
          <w:color w:val="1F1F1F"/>
          <w:kern w:val="0"/>
          <w:lang w:eastAsia="es-UY"/>
          <w14:ligatures w14:val="none"/>
        </w:rPr>
        <w:t xml:space="preserve">La desigualdad climática extrema sitúa la responsabilidad de la crisis ecológica en los niveles de consumo de la población global con mayores ingresos. Un estudio de las universidades de Leiden y Oxford publicado en la revista </w:t>
      </w:r>
      <w:r w:rsidRPr="00130B51">
        <w:rPr>
          <w:rFonts w:ascii="Arial" w:eastAsia="Times New Roman" w:hAnsi="Arial" w:cs="Arial"/>
          <w:i/>
          <w:iCs/>
          <w:color w:val="1F1F1F"/>
          <w:kern w:val="0"/>
          <w:lang w:eastAsia="es-UY"/>
          <w14:ligatures w14:val="none"/>
        </w:rPr>
        <w:t>Nature</w:t>
      </w:r>
      <w:r w:rsidRPr="00130B51">
        <w:rPr>
          <w:rFonts w:ascii="Arial" w:eastAsia="Times New Roman" w:hAnsi="Arial" w:cs="Arial"/>
          <w:color w:val="1F1F1F"/>
          <w:kern w:val="0"/>
          <w:lang w:eastAsia="es-UY"/>
          <w14:ligatures w14:val="none"/>
        </w:rPr>
        <w:t xml:space="preserve"> revela que </w:t>
      </w:r>
      <w:r w:rsidRPr="00130B51">
        <w:rPr>
          <w:rFonts w:ascii="Arial" w:eastAsia="Times New Roman" w:hAnsi="Arial" w:cs="Arial"/>
          <w:b/>
          <w:bCs/>
          <w:color w:val="1F1F1F"/>
          <w:kern w:val="0"/>
          <w:lang w:eastAsia="es-UY"/>
          <w14:ligatures w14:val="none"/>
        </w:rPr>
        <w:t>el 10% que más consume genera billones de euros en daños ambientales</w:t>
      </w:r>
      <w:r w:rsidRPr="00130B51">
        <w:rPr>
          <w:rFonts w:ascii="Arial" w:eastAsia="Times New Roman" w:hAnsi="Arial" w:cs="Arial"/>
          <w:color w:val="1F1F1F"/>
          <w:kern w:val="0"/>
          <w:lang w:eastAsia="es-UY"/>
          <w14:ligatures w14:val="none"/>
        </w:rPr>
        <w:t xml:space="preserve"> sobre los límites planetarios. Simultáneamente, el informe de Oxfam titulado "Igualdad climática: un planeta para el 99%", elaborado junto al Stockholm </w:t>
      </w:r>
      <w:proofErr w:type="spellStart"/>
      <w:r w:rsidRPr="00130B51">
        <w:rPr>
          <w:rFonts w:ascii="Arial" w:eastAsia="Times New Roman" w:hAnsi="Arial" w:cs="Arial"/>
          <w:color w:val="1F1F1F"/>
          <w:kern w:val="0"/>
          <w:lang w:eastAsia="es-UY"/>
          <w14:ligatures w14:val="none"/>
        </w:rPr>
        <w:t>Environment</w:t>
      </w:r>
      <w:proofErr w:type="spellEnd"/>
      <w:r w:rsidRPr="00130B51">
        <w:rPr>
          <w:rFonts w:ascii="Arial" w:eastAsia="Times New Roman" w:hAnsi="Arial" w:cs="Arial"/>
          <w:color w:val="1F1F1F"/>
          <w:kern w:val="0"/>
          <w:lang w:eastAsia="es-UY"/>
          <w14:ligatures w14:val="none"/>
        </w:rPr>
        <w:t xml:space="preserve"> </w:t>
      </w:r>
      <w:proofErr w:type="spellStart"/>
      <w:r w:rsidRPr="00130B51">
        <w:rPr>
          <w:rFonts w:ascii="Arial" w:eastAsia="Times New Roman" w:hAnsi="Arial" w:cs="Arial"/>
          <w:color w:val="1F1F1F"/>
          <w:kern w:val="0"/>
          <w:lang w:eastAsia="es-UY"/>
          <w14:ligatures w14:val="none"/>
        </w:rPr>
        <w:t>Institute</w:t>
      </w:r>
      <w:proofErr w:type="spellEnd"/>
      <w:r w:rsidRPr="00130B51">
        <w:rPr>
          <w:rFonts w:ascii="Arial" w:eastAsia="Times New Roman" w:hAnsi="Arial" w:cs="Arial"/>
          <w:color w:val="1F1F1F"/>
          <w:kern w:val="0"/>
          <w:lang w:eastAsia="es-UY"/>
          <w14:ligatures w14:val="none"/>
        </w:rPr>
        <w:t>, expone que el 1% más rico —unos 77 millones de personas— generó el 16% de las emisiones globales de CO2, agravando una preocupante asimetría social y económica donde ese grupo contamina lo mismo que los 5.000 millones de personas de los dos tercios más pobres de la humanidad.</w:t>
      </w:r>
    </w:p>
    <w:p w14:paraId="285F0C29" w14:textId="77777777" w:rsidR="00130B51" w:rsidRPr="00130B51" w:rsidRDefault="00130B51" w:rsidP="00130B51">
      <w:pPr>
        <w:spacing w:after="0" w:line="240" w:lineRule="auto"/>
        <w:jc w:val="both"/>
        <w:rPr>
          <w:rFonts w:ascii="Times New Roman" w:eastAsia="Times New Roman" w:hAnsi="Times New Roman" w:cs="Times New Roman"/>
          <w:kern w:val="0"/>
          <w:sz w:val="24"/>
          <w:szCs w:val="24"/>
          <w:lang w:eastAsia="es-UY"/>
          <w14:ligatures w14:val="none"/>
        </w:rPr>
      </w:pPr>
      <w:r w:rsidRPr="00130B51">
        <w:rPr>
          <w:rFonts w:ascii="Arial" w:eastAsia="Times New Roman" w:hAnsi="Arial" w:cs="Arial"/>
          <w:color w:val="222222"/>
          <w:kern w:val="0"/>
          <w:sz w:val="24"/>
          <w:szCs w:val="24"/>
          <w:lang w:eastAsia="es-UY"/>
          <w14:ligatures w14:val="none"/>
        </w:rPr>
        <w:br/>
      </w:r>
    </w:p>
    <w:p w14:paraId="61624D3F" w14:textId="77777777" w:rsidR="00130B51" w:rsidRPr="00130B51" w:rsidRDefault="00130B51" w:rsidP="00130B51">
      <w:pPr>
        <w:shd w:val="clear" w:color="auto" w:fill="FFFFFF"/>
        <w:spacing w:after="0" w:line="240" w:lineRule="auto"/>
        <w:jc w:val="both"/>
        <w:outlineLvl w:val="1"/>
        <w:rPr>
          <w:rFonts w:ascii="Arial" w:eastAsia="Times New Roman" w:hAnsi="Arial" w:cs="Arial"/>
          <w:b/>
          <w:bCs/>
          <w:color w:val="222222"/>
          <w:kern w:val="0"/>
          <w:sz w:val="36"/>
          <w:szCs w:val="36"/>
          <w:lang w:eastAsia="es-UY"/>
          <w14:ligatures w14:val="none"/>
        </w:rPr>
      </w:pPr>
      <w:r w:rsidRPr="00130B51">
        <w:rPr>
          <w:rFonts w:ascii="Arial" w:eastAsia="Times New Roman" w:hAnsi="Arial" w:cs="Arial"/>
          <w:b/>
          <w:bCs/>
          <w:color w:val="1F1F1F"/>
          <w:kern w:val="0"/>
          <w:sz w:val="34"/>
          <w:szCs w:val="34"/>
          <w:lang w:eastAsia="es-UY"/>
          <w14:ligatures w14:val="none"/>
        </w:rPr>
        <w:t>Responsabilidad de las rentas más altas en la degradación global</w:t>
      </w:r>
    </w:p>
    <w:p w14:paraId="133A4740" w14:textId="77777777" w:rsidR="00130B51" w:rsidRPr="00130B51" w:rsidRDefault="00130B51" w:rsidP="00130B51">
      <w:pPr>
        <w:spacing w:after="0" w:line="240" w:lineRule="auto"/>
        <w:jc w:val="both"/>
        <w:rPr>
          <w:rFonts w:ascii="Times New Roman" w:eastAsia="Times New Roman" w:hAnsi="Times New Roman" w:cs="Times New Roman"/>
          <w:kern w:val="0"/>
          <w:sz w:val="24"/>
          <w:szCs w:val="24"/>
          <w:lang w:eastAsia="es-UY"/>
          <w14:ligatures w14:val="none"/>
        </w:rPr>
      </w:pPr>
      <w:r w:rsidRPr="00130B51">
        <w:rPr>
          <w:rFonts w:ascii="Arial" w:eastAsia="Times New Roman" w:hAnsi="Arial" w:cs="Arial"/>
          <w:color w:val="222222"/>
          <w:kern w:val="0"/>
          <w:sz w:val="24"/>
          <w:szCs w:val="24"/>
          <w:lang w:eastAsia="es-UY"/>
          <w14:ligatures w14:val="none"/>
        </w:rPr>
        <w:br/>
      </w:r>
    </w:p>
    <w:p w14:paraId="3DCC222A" w14:textId="77777777" w:rsidR="00130B51" w:rsidRPr="00130B51" w:rsidRDefault="00130B51" w:rsidP="00130B5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30B51">
        <w:rPr>
          <w:rFonts w:ascii="Arial" w:eastAsia="Times New Roman" w:hAnsi="Arial" w:cs="Arial"/>
          <w:color w:val="1F1F1F"/>
          <w:kern w:val="0"/>
          <w:lang w:eastAsia="es-UY"/>
          <w14:ligatures w14:val="none"/>
        </w:rPr>
        <w:t xml:space="preserve">La acumulación de daños sobre los umbrales que permiten la vida terrestre demuestra que el impacto ambiental no se reparte de forma homogénea. El coste derivado del consumo de la población con mayores ingresos supera la brecha de financiación necesaria para cumplir los objetivos globales de acción climática, ya que el 10% más rico es responsable del 50% de las emisiones totales y sus inversiones —con solo 125 milmillonarios emitiendo 393 millones de toneladas de CO2 al año— equivalen a toda Francia. En países de ingresos elevados como Estados Unidos y Alemania, la factura anual estimada por habitante para reparar este impacto refleja un </w:t>
      </w:r>
      <w:r w:rsidRPr="00130B51">
        <w:rPr>
          <w:rFonts w:ascii="Arial" w:eastAsia="Times New Roman" w:hAnsi="Arial" w:cs="Arial"/>
          <w:b/>
          <w:bCs/>
          <w:color w:val="1F1F1F"/>
          <w:kern w:val="0"/>
          <w:lang w:eastAsia="es-UY"/>
          <w14:ligatures w14:val="none"/>
        </w:rPr>
        <w:t>desequilibrio estructural profundo frente a los países menos desarrollados</w:t>
      </w:r>
      <w:r w:rsidRPr="00130B51">
        <w:rPr>
          <w:rFonts w:ascii="Arial" w:eastAsia="Times New Roman" w:hAnsi="Arial" w:cs="Arial"/>
          <w:color w:val="1F1F1F"/>
          <w:kern w:val="0"/>
          <w:lang w:eastAsia="es-UY"/>
          <w14:ligatures w14:val="none"/>
        </w:rPr>
        <w:t>.</w:t>
      </w:r>
    </w:p>
    <w:p w14:paraId="5B477CC6" w14:textId="77777777" w:rsidR="00130B51" w:rsidRPr="00130B51" w:rsidRDefault="00130B51" w:rsidP="00130B51">
      <w:pPr>
        <w:spacing w:after="0" w:line="240" w:lineRule="auto"/>
        <w:jc w:val="both"/>
        <w:rPr>
          <w:rFonts w:ascii="Times New Roman" w:eastAsia="Times New Roman" w:hAnsi="Times New Roman" w:cs="Times New Roman"/>
          <w:kern w:val="0"/>
          <w:sz w:val="24"/>
          <w:szCs w:val="24"/>
          <w:lang w:eastAsia="es-UY"/>
          <w14:ligatures w14:val="none"/>
        </w:rPr>
      </w:pPr>
      <w:r w:rsidRPr="00130B51">
        <w:rPr>
          <w:rFonts w:ascii="Arial" w:eastAsia="Times New Roman" w:hAnsi="Arial" w:cs="Arial"/>
          <w:color w:val="222222"/>
          <w:kern w:val="0"/>
          <w:sz w:val="24"/>
          <w:szCs w:val="24"/>
          <w:lang w:eastAsia="es-UY"/>
          <w14:ligatures w14:val="none"/>
        </w:rPr>
        <w:br/>
      </w:r>
    </w:p>
    <w:p w14:paraId="608A97C3" w14:textId="77777777" w:rsidR="00130B51" w:rsidRPr="00130B51" w:rsidRDefault="00130B51" w:rsidP="00130B5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30B51">
        <w:rPr>
          <w:rFonts w:ascii="Arial" w:eastAsia="Times New Roman" w:hAnsi="Arial" w:cs="Arial"/>
          <w:color w:val="1F1F1F"/>
          <w:kern w:val="0"/>
          <w:lang w:eastAsia="es-UY"/>
          <w14:ligatures w14:val="none"/>
        </w:rPr>
        <w:t>Los datos indican que mientras la mayoría de la población limita su impacto mediante el control de su</w:t>
      </w:r>
      <w:hyperlink r:id="rId5" w:tgtFrame="_blank" w:history="1">
        <w:r w:rsidRPr="00130B51">
          <w:rPr>
            <w:rFonts w:ascii="Arial" w:eastAsia="Times New Roman" w:hAnsi="Arial" w:cs="Arial"/>
            <w:color w:val="1F1F1F"/>
            <w:kern w:val="0"/>
            <w:lang w:eastAsia="es-UY"/>
            <w14:ligatures w14:val="none"/>
          </w:rPr>
          <w:t xml:space="preserve"> </w:t>
        </w:r>
        <w:r w:rsidRPr="00130B51">
          <w:rPr>
            <w:rFonts w:ascii="Arial" w:eastAsia="Times New Roman" w:hAnsi="Arial" w:cs="Arial"/>
            <w:color w:val="1F1F1F"/>
            <w:kern w:val="0"/>
            <w:u w:val="single"/>
            <w:lang w:eastAsia="es-UY"/>
            <w14:ligatures w14:val="none"/>
          </w:rPr>
          <w:t>huella de carbono</w:t>
        </w:r>
      </w:hyperlink>
      <w:r w:rsidRPr="00130B51">
        <w:rPr>
          <w:rFonts w:ascii="Arial" w:eastAsia="Times New Roman" w:hAnsi="Arial" w:cs="Arial"/>
          <w:color w:val="1F1F1F"/>
          <w:kern w:val="0"/>
          <w:lang w:eastAsia="es-UY"/>
          <w14:ligatures w14:val="none"/>
        </w:rPr>
        <w:t xml:space="preserve"> personal, </w:t>
      </w:r>
      <w:r w:rsidRPr="00130B51">
        <w:rPr>
          <w:rFonts w:ascii="Arial" w:eastAsia="Times New Roman" w:hAnsi="Arial" w:cs="Arial"/>
          <w:b/>
          <w:bCs/>
          <w:color w:val="1F1F1F"/>
          <w:kern w:val="0"/>
          <w:lang w:eastAsia="es-UY"/>
          <w14:ligatures w14:val="none"/>
        </w:rPr>
        <w:t>los hábitos de las élites neutralizan estos esfuerzos colectivos</w:t>
      </w:r>
      <w:r w:rsidRPr="00130B51">
        <w:rPr>
          <w:rFonts w:ascii="Arial" w:eastAsia="Times New Roman" w:hAnsi="Arial" w:cs="Arial"/>
          <w:color w:val="1F1F1F"/>
          <w:kern w:val="0"/>
          <w:lang w:eastAsia="es-UY"/>
          <w14:ligatures w14:val="none"/>
        </w:rPr>
        <w:t>, consumiendo desde 1990 el doble del presupuesto de carbono para no superar el límite seguro de 1,5 °C. Una sola de estas fortunas produce en un año lo que un ciudadano común tardaría 1.500 años en emitir, lo que exige evaluar una</w:t>
      </w:r>
      <w:hyperlink r:id="rId6" w:tgtFrame="_blank" w:history="1">
        <w:r w:rsidRPr="00130B51">
          <w:rPr>
            <w:rFonts w:ascii="Arial" w:eastAsia="Times New Roman" w:hAnsi="Arial" w:cs="Arial"/>
            <w:color w:val="1F1F1F"/>
            <w:kern w:val="0"/>
            <w:lang w:eastAsia="es-UY"/>
            <w14:ligatures w14:val="none"/>
          </w:rPr>
          <w:t xml:space="preserve"> </w:t>
        </w:r>
        <w:r w:rsidRPr="00130B51">
          <w:rPr>
            <w:rFonts w:ascii="Arial" w:eastAsia="Times New Roman" w:hAnsi="Arial" w:cs="Arial"/>
            <w:color w:val="1F1F1F"/>
            <w:kern w:val="0"/>
            <w:u w:val="single"/>
            <w:lang w:eastAsia="es-UY"/>
            <w14:ligatures w14:val="none"/>
          </w:rPr>
          <w:t>tarifa de luz</w:t>
        </w:r>
      </w:hyperlink>
      <w:r w:rsidRPr="00130B51">
        <w:rPr>
          <w:rFonts w:ascii="Arial" w:eastAsia="Times New Roman" w:hAnsi="Arial" w:cs="Arial"/>
          <w:color w:val="1F1F1F"/>
          <w:kern w:val="0"/>
          <w:lang w:eastAsia="es-UY"/>
          <w14:ligatures w14:val="none"/>
        </w:rPr>
        <w:t xml:space="preserve"> global que grave estos excesos para que los impuestos reflejen la realidad del consumo de alto impacto individual.</w:t>
      </w:r>
    </w:p>
    <w:p w14:paraId="3FECF9E4" w14:textId="77777777" w:rsidR="00130B51" w:rsidRPr="00130B51" w:rsidRDefault="00130B51" w:rsidP="00130B51">
      <w:pPr>
        <w:spacing w:after="0" w:line="240" w:lineRule="auto"/>
        <w:jc w:val="both"/>
        <w:rPr>
          <w:rFonts w:ascii="Times New Roman" w:eastAsia="Times New Roman" w:hAnsi="Times New Roman" w:cs="Times New Roman"/>
          <w:kern w:val="0"/>
          <w:sz w:val="24"/>
          <w:szCs w:val="24"/>
          <w:lang w:eastAsia="es-UY"/>
          <w14:ligatures w14:val="none"/>
        </w:rPr>
      </w:pPr>
      <w:r w:rsidRPr="00130B51">
        <w:rPr>
          <w:rFonts w:ascii="Arial" w:eastAsia="Times New Roman" w:hAnsi="Arial" w:cs="Arial"/>
          <w:color w:val="222222"/>
          <w:kern w:val="0"/>
          <w:sz w:val="24"/>
          <w:szCs w:val="24"/>
          <w:lang w:eastAsia="es-UY"/>
          <w14:ligatures w14:val="none"/>
        </w:rPr>
        <w:br/>
      </w:r>
    </w:p>
    <w:p w14:paraId="013B88CF" w14:textId="77777777" w:rsidR="00130B51" w:rsidRPr="00130B51" w:rsidRDefault="00130B51" w:rsidP="00130B51">
      <w:pPr>
        <w:shd w:val="clear" w:color="auto" w:fill="FFFFFF"/>
        <w:spacing w:after="0" w:line="240" w:lineRule="auto"/>
        <w:jc w:val="both"/>
        <w:outlineLvl w:val="1"/>
        <w:rPr>
          <w:rFonts w:ascii="Arial" w:eastAsia="Times New Roman" w:hAnsi="Arial" w:cs="Arial"/>
          <w:b/>
          <w:bCs/>
          <w:color w:val="222222"/>
          <w:kern w:val="0"/>
          <w:sz w:val="36"/>
          <w:szCs w:val="36"/>
          <w:lang w:eastAsia="es-UY"/>
          <w14:ligatures w14:val="none"/>
        </w:rPr>
      </w:pPr>
      <w:r w:rsidRPr="00130B51">
        <w:rPr>
          <w:rFonts w:ascii="Arial" w:eastAsia="Times New Roman" w:hAnsi="Arial" w:cs="Arial"/>
          <w:b/>
          <w:bCs/>
          <w:color w:val="1F1F1F"/>
          <w:kern w:val="0"/>
          <w:sz w:val="34"/>
          <w:szCs w:val="34"/>
          <w:lang w:eastAsia="es-UY"/>
          <w14:ligatures w14:val="none"/>
        </w:rPr>
        <w:t>Fiscalidad verde como herramienta ante el abuso ecológico</w:t>
      </w:r>
    </w:p>
    <w:p w14:paraId="63FC0CAB" w14:textId="77777777" w:rsidR="00130B51" w:rsidRPr="00130B51" w:rsidRDefault="00130B51" w:rsidP="00130B51">
      <w:pPr>
        <w:spacing w:after="0" w:line="240" w:lineRule="auto"/>
        <w:jc w:val="both"/>
        <w:rPr>
          <w:rFonts w:ascii="Times New Roman" w:eastAsia="Times New Roman" w:hAnsi="Times New Roman" w:cs="Times New Roman"/>
          <w:kern w:val="0"/>
          <w:sz w:val="24"/>
          <w:szCs w:val="24"/>
          <w:lang w:eastAsia="es-UY"/>
          <w14:ligatures w14:val="none"/>
        </w:rPr>
      </w:pPr>
      <w:r w:rsidRPr="00130B51">
        <w:rPr>
          <w:rFonts w:ascii="Arial" w:eastAsia="Times New Roman" w:hAnsi="Arial" w:cs="Arial"/>
          <w:color w:val="222222"/>
          <w:kern w:val="0"/>
          <w:sz w:val="24"/>
          <w:szCs w:val="24"/>
          <w:lang w:eastAsia="es-UY"/>
          <w14:ligatures w14:val="none"/>
        </w:rPr>
        <w:br/>
      </w:r>
    </w:p>
    <w:p w14:paraId="577EE10D" w14:textId="77777777" w:rsidR="00130B51" w:rsidRPr="00130B51" w:rsidRDefault="00130B51" w:rsidP="00130B51">
      <w:pPr>
        <w:numPr>
          <w:ilvl w:val="0"/>
          <w:numId w:val="1"/>
        </w:numPr>
        <w:spacing w:after="0" w:line="240" w:lineRule="auto"/>
        <w:ind w:left="945"/>
        <w:jc w:val="both"/>
        <w:textAlignment w:val="baseline"/>
        <w:rPr>
          <w:rFonts w:ascii="Arial" w:eastAsia="Times New Roman" w:hAnsi="Arial" w:cs="Arial"/>
          <w:color w:val="1F1F1F"/>
          <w:kern w:val="0"/>
          <w:lang w:eastAsia="es-UY"/>
          <w14:ligatures w14:val="none"/>
        </w:rPr>
      </w:pPr>
      <w:r w:rsidRPr="00130B51">
        <w:rPr>
          <w:rFonts w:ascii="Arial" w:eastAsia="Times New Roman" w:hAnsi="Arial" w:cs="Arial"/>
          <w:color w:val="1F1F1F"/>
          <w:kern w:val="0"/>
          <w:lang w:eastAsia="es-UY"/>
          <w14:ligatures w14:val="none"/>
        </w:rPr>
        <w:t xml:space="preserve">El debate político se desplaza hacia el </w:t>
      </w:r>
      <w:r w:rsidRPr="00130B51">
        <w:rPr>
          <w:rFonts w:ascii="Arial" w:eastAsia="Times New Roman" w:hAnsi="Arial" w:cs="Arial"/>
          <w:b/>
          <w:bCs/>
          <w:color w:val="1F1F1F"/>
          <w:kern w:val="0"/>
          <w:lang w:eastAsia="es-UY"/>
          <w14:ligatures w14:val="none"/>
        </w:rPr>
        <w:t>diseño de gravámenes específicos sobre las actividades y sectores más contaminantes</w:t>
      </w:r>
      <w:r w:rsidRPr="00130B51">
        <w:rPr>
          <w:rFonts w:ascii="Arial" w:eastAsia="Times New Roman" w:hAnsi="Arial" w:cs="Arial"/>
          <w:color w:val="1F1F1F"/>
          <w:kern w:val="0"/>
          <w:lang w:eastAsia="es-UY"/>
          <w14:ligatures w14:val="none"/>
        </w:rPr>
        <w:t xml:space="preserve">, proyectando que </w:t>
      </w:r>
      <w:r w:rsidRPr="00130B51">
        <w:rPr>
          <w:rFonts w:ascii="Arial" w:eastAsia="Times New Roman" w:hAnsi="Arial" w:cs="Arial"/>
          <w:color w:val="1F1F1F"/>
          <w:kern w:val="0"/>
          <w:lang w:eastAsia="es-UY"/>
          <w14:ligatures w14:val="none"/>
        </w:rPr>
        <w:lastRenderedPageBreak/>
        <w:t>para 2030 las emisiones del 1% más rico serán 22 veces más altas de lo permitido por el Acuerdo de París.</w:t>
      </w:r>
    </w:p>
    <w:p w14:paraId="398C885D" w14:textId="77777777" w:rsidR="00130B51" w:rsidRPr="00130B51" w:rsidRDefault="00130B51" w:rsidP="00130B51">
      <w:pPr>
        <w:numPr>
          <w:ilvl w:val="0"/>
          <w:numId w:val="1"/>
        </w:numPr>
        <w:spacing w:after="0" w:line="240" w:lineRule="auto"/>
        <w:ind w:left="945"/>
        <w:jc w:val="both"/>
        <w:textAlignment w:val="baseline"/>
        <w:rPr>
          <w:rFonts w:ascii="Arial" w:eastAsia="Times New Roman" w:hAnsi="Arial" w:cs="Arial"/>
          <w:color w:val="1F1F1F"/>
          <w:kern w:val="0"/>
          <w:lang w:eastAsia="es-UY"/>
          <w14:ligatures w14:val="none"/>
        </w:rPr>
      </w:pPr>
      <w:r w:rsidRPr="00130B51">
        <w:rPr>
          <w:rFonts w:ascii="Arial" w:eastAsia="Times New Roman" w:hAnsi="Arial" w:cs="Arial"/>
          <w:color w:val="1F1F1F"/>
          <w:kern w:val="0"/>
          <w:lang w:eastAsia="es-UY"/>
          <w14:ligatures w14:val="none"/>
        </w:rPr>
        <w:t xml:space="preserve">Los expertos sostienen que </w:t>
      </w:r>
      <w:r w:rsidRPr="00130B51">
        <w:rPr>
          <w:rFonts w:ascii="Arial" w:eastAsia="Times New Roman" w:hAnsi="Arial" w:cs="Arial"/>
          <w:b/>
          <w:bCs/>
          <w:color w:val="1F1F1F"/>
          <w:kern w:val="0"/>
          <w:lang w:eastAsia="es-UY"/>
          <w14:ligatures w14:val="none"/>
        </w:rPr>
        <w:t>aplicar un impuesto del 60% a los ingresos del 1% más rico reduciría más emisiones de CO2 que las de todo el Reino Unido</w:t>
      </w:r>
      <w:r w:rsidRPr="00130B51">
        <w:rPr>
          <w:rFonts w:ascii="Arial" w:eastAsia="Times New Roman" w:hAnsi="Arial" w:cs="Arial"/>
          <w:color w:val="1F1F1F"/>
          <w:kern w:val="0"/>
          <w:lang w:eastAsia="es-UY"/>
          <w14:ligatures w14:val="none"/>
        </w:rPr>
        <w:t xml:space="preserve"> y recaudaría 6,4 billones de dólares anuales para la transición.</w:t>
      </w:r>
    </w:p>
    <w:p w14:paraId="5F582D0D" w14:textId="77777777" w:rsidR="00130B51" w:rsidRPr="00130B51" w:rsidRDefault="00130B51" w:rsidP="00130B51">
      <w:pPr>
        <w:numPr>
          <w:ilvl w:val="0"/>
          <w:numId w:val="1"/>
        </w:numPr>
        <w:spacing w:after="0" w:line="240" w:lineRule="auto"/>
        <w:ind w:left="945"/>
        <w:jc w:val="both"/>
        <w:textAlignment w:val="baseline"/>
        <w:rPr>
          <w:rFonts w:ascii="Arial" w:eastAsia="Times New Roman" w:hAnsi="Arial" w:cs="Arial"/>
          <w:color w:val="1F1F1F"/>
          <w:kern w:val="0"/>
          <w:lang w:eastAsia="es-UY"/>
          <w14:ligatures w14:val="none"/>
        </w:rPr>
      </w:pPr>
      <w:r w:rsidRPr="00130B51">
        <w:rPr>
          <w:rFonts w:ascii="Arial" w:eastAsia="Times New Roman" w:hAnsi="Arial" w:cs="Arial"/>
          <w:color w:val="1F1F1F"/>
          <w:kern w:val="0"/>
          <w:lang w:eastAsia="es-UY"/>
          <w14:ligatures w14:val="none"/>
        </w:rPr>
        <w:t>Esta fiscalidad equitativa busca financiar soluciones ambientales urgentes sin penalizar a los ciudadanos vulnerables, reduciendo la mortalidad en el Sur global, donde ocurre el 91% de las muertes por desastres climáticos.</w:t>
      </w:r>
    </w:p>
    <w:p w14:paraId="54C540AF" w14:textId="77777777" w:rsidR="00130B51" w:rsidRPr="00130B51" w:rsidRDefault="00130B51" w:rsidP="00130B51">
      <w:pPr>
        <w:spacing w:after="0" w:line="240" w:lineRule="auto"/>
        <w:jc w:val="both"/>
        <w:rPr>
          <w:rFonts w:ascii="Times New Roman" w:eastAsia="Times New Roman" w:hAnsi="Times New Roman" w:cs="Times New Roman"/>
          <w:kern w:val="0"/>
          <w:sz w:val="24"/>
          <w:szCs w:val="24"/>
          <w:lang w:eastAsia="es-UY"/>
          <w14:ligatures w14:val="none"/>
        </w:rPr>
      </w:pPr>
      <w:r w:rsidRPr="00130B51">
        <w:rPr>
          <w:rFonts w:ascii="Arial" w:eastAsia="Times New Roman" w:hAnsi="Arial" w:cs="Arial"/>
          <w:color w:val="222222"/>
          <w:kern w:val="0"/>
          <w:sz w:val="24"/>
          <w:szCs w:val="24"/>
          <w:lang w:eastAsia="es-UY"/>
          <w14:ligatures w14:val="none"/>
        </w:rPr>
        <w:br/>
      </w:r>
    </w:p>
    <w:p w14:paraId="2E4F682B" w14:textId="77777777" w:rsidR="00130B51" w:rsidRPr="00130B51" w:rsidRDefault="00130B51" w:rsidP="00130B5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30B51">
        <w:rPr>
          <w:rFonts w:ascii="Arial" w:eastAsia="Times New Roman" w:hAnsi="Arial" w:cs="Arial"/>
          <w:color w:val="1F1F1F"/>
          <w:kern w:val="0"/>
          <w:lang w:eastAsia="es-UY"/>
          <w14:ligatures w14:val="none"/>
        </w:rPr>
        <w:t>Para el ciudadano común, la presión se traduce erróneamente en modificar conductas domésticas o buscar maneras de</w:t>
      </w:r>
      <w:hyperlink r:id="rId7" w:tgtFrame="_blank" w:history="1">
        <w:r w:rsidRPr="00130B51">
          <w:rPr>
            <w:rFonts w:ascii="Arial" w:eastAsia="Times New Roman" w:hAnsi="Arial" w:cs="Arial"/>
            <w:color w:val="1F1F1F"/>
            <w:kern w:val="0"/>
            <w:lang w:eastAsia="es-UY"/>
            <w14:ligatures w14:val="none"/>
          </w:rPr>
          <w:t xml:space="preserve"> </w:t>
        </w:r>
        <w:r w:rsidRPr="00130B51">
          <w:rPr>
            <w:rFonts w:ascii="Arial" w:eastAsia="Times New Roman" w:hAnsi="Arial" w:cs="Arial"/>
            <w:color w:val="1F1F1F"/>
            <w:kern w:val="0"/>
            <w:u w:val="single"/>
            <w:lang w:eastAsia="es-UY"/>
            <w14:ligatures w14:val="none"/>
          </w:rPr>
          <w:t>disminuir el gasto de energía</w:t>
        </w:r>
      </w:hyperlink>
      <w:r w:rsidRPr="00130B51">
        <w:rPr>
          <w:rFonts w:ascii="Arial" w:eastAsia="Times New Roman" w:hAnsi="Arial" w:cs="Arial"/>
          <w:color w:val="1F1F1F"/>
          <w:kern w:val="0"/>
          <w:lang w:eastAsia="es-UY"/>
          <w14:ligatures w14:val="none"/>
        </w:rPr>
        <w:t xml:space="preserve"> en su vida diaria para compensar un daño macroeconómico que ya ha provocado que la brecha económica entre países ricos y el Sur global sea un 25% mayor. Sin embargo, el director ejecutivo de Oxfam, Amitabh Behar, denuncia que las emisiones desmedidas del 1% causarán 1,3 millones de muertes adicionales por calor entre 2020 y 2030, demostrando que </w:t>
      </w:r>
      <w:r w:rsidRPr="00130B51">
        <w:rPr>
          <w:rFonts w:ascii="Arial" w:eastAsia="Times New Roman" w:hAnsi="Arial" w:cs="Arial"/>
          <w:b/>
          <w:bCs/>
          <w:color w:val="1F1F1F"/>
          <w:kern w:val="0"/>
          <w:lang w:eastAsia="es-UY"/>
          <w14:ligatures w14:val="none"/>
        </w:rPr>
        <w:t>las políticas públicas deben priorizar la regulación de las grandes fortunas</w:t>
      </w:r>
      <w:r w:rsidRPr="00130B51">
        <w:rPr>
          <w:rFonts w:ascii="Arial" w:eastAsia="Times New Roman" w:hAnsi="Arial" w:cs="Arial"/>
          <w:color w:val="1F1F1F"/>
          <w:kern w:val="0"/>
          <w:lang w:eastAsia="es-UY"/>
          <w14:ligatures w14:val="none"/>
        </w:rPr>
        <w:t xml:space="preserve"> mediante herramientas como un</w:t>
      </w:r>
      <w:hyperlink r:id="rId8" w:tgtFrame="_blank" w:history="1">
        <w:r w:rsidRPr="00130B51">
          <w:rPr>
            <w:rFonts w:ascii="Arial" w:eastAsia="Times New Roman" w:hAnsi="Arial" w:cs="Arial"/>
            <w:color w:val="1F1F1F"/>
            <w:kern w:val="0"/>
            <w:lang w:eastAsia="es-UY"/>
            <w14:ligatures w14:val="none"/>
          </w:rPr>
          <w:t xml:space="preserve"> </w:t>
        </w:r>
        <w:r w:rsidRPr="00130B51">
          <w:rPr>
            <w:rFonts w:ascii="Arial" w:eastAsia="Times New Roman" w:hAnsi="Arial" w:cs="Arial"/>
            <w:color w:val="1F1F1F"/>
            <w:kern w:val="0"/>
            <w:u w:val="single"/>
            <w:lang w:eastAsia="es-UY"/>
            <w14:ligatures w14:val="none"/>
          </w:rPr>
          <w:t>comparador de luz</w:t>
        </w:r>
      </w:hyperlink>
      <w:r w:rsidRPr="00130B51">
        <w:rPr>
          <w:rFonts w:ascii="Arial" w:eastAsia="Times New Roman" w:hAnsi="Arial" w:cs="Arial"/>
          <w:color w:val="1F1F1F"/>
          <w:kern w:val="0"/>
          <w:lang w:eastAsia="es-UY"/>
          <w14:ligatures w14:val="none"/>
        </w:rPr>
        <w:t xml:space="preserve"> regulado para evitar que una mayoría social continúe asumiendo el coste del bienestar de unos pocos.</w:t>
      </w:r>
    </w:p>
    <w:p w14:paraId="375C175B" w14:textId="77777777" w:rsidR="00130B51" w:rsidRPr="00130B51" w:rsidRDefault="00130B51" w:rsidP="00130B51">
      <w:pPr>
        <w:spacing w:after="0" w:line="240" w:lineRule="auto"/>
        <w:jc w:val="both"/>
        <w:rPr>
          <w:rFonts w:ascii="Times New Roman" w:eastAsia="Times New Roman" w:hAnsi="Times New Roman" w:cs="Times New Roman"/>
          <w:kern w:val="0"/>
          <w:sz w:val="24"/>
          <w:szCs w:val="24"/>
          <w:lang w:eastAsia="es-UY"/>
          <w14:ligatures w14:val="none"/>
        </w:rPr>
      </w:pPr>
      <w:r w:rsidRPr="00130B51">
        <w:rPr>
          <w:rFonts w:ascii="Arial" w:eastAsia="Times New Roman" w:hAnsi="Arial" w:cs="Arial"/>
          <w:color w:val="222222"/>
          <w:kern w:val="0"/>
          <w:sz w:val="24"/>
          <w:szCs w:val="24"/>
          <w:lang w:eastAsia="es-UY"/>
          <w14:ligatures w14:val="none"/>
        </w:rPr>
        <w:br/>
      </w:r>
    </w:p>
    <w:p w14:paraId="62F8E0D0" w14:textId="77777777" w:rsidR="00130B51" w:rsidRPr="00130B51" w:rsidRDefault="00130B51" w:rsidP="00130B51">
      <w:pPr>
        <w:shd w:val="clear" w:color="auto" w:fill="FFFFFF"/>
        <w:spacing w:after="0" w:line="240" w:lineRule="auto"/>
        <w:jc w:val="both"/>
        <w:outlineLvl w:val="1"/>
        <w:rPr>
          <w:rFonts w:ascii="Arial" w:eastAsia="Times New Roman" w:hAnsi="Arial" w:cs="Arial"/>
          <w:b/>
          <w:bCs/>
          <w:color w:val="222222"/>
          <w:kern w:val="0"/>
          <w:sz w:val="36"/>
          <w:szCs w:val="36"/>
          <w:lang w:eastAsia="es-UY"/>
          <w14:ligatures w14:val="none"/>
        </w:rPr>
      </w:pPr>
      <w:r w:rsidRPr="00130B51">
        <w:rPr>
          <w:rFonts w:ascii="Arial" w:eastAsia="Times New Roman" w:hAnsi="Arial" w:cs="Arial"/>
          <w:b/>
          <w:bCs/>
          <w:color w:val="1F1F1F"/>
          <w:kern w:val="0"/>
          <w:sz w:val="34"/>
          <w:szCs w:val="34"/>
          <w:lang w:eastAsia="es-UY"/>
          <w14:ligatures w14:val="none"/>
        </w:rPr>
        <w:t>Modelos sostenibles frente a las asimetrías de consumo</w:t>
      </w:r>
    </w:p>
    <w:p w14:paraId="00D574D7" w14:textId="77777777" w:rsidR="00130B51" w:rsidRPr="00130B51" w:rsidRDefault="00130B51" w:rsidP="00130B51">
      <w:pPr>
        <w:spacing w:after="0" w:line="240" w:lineRule="auto"/>
        <w:jc w:val="both"/>
        <w:rPr>
          <w:rFonts w:ascii="Times New Roman" w:eastAsia="Times New Roman" w:hAnsi="Times New Roman" w:cs="Times New Roman"/>
          <w:kern w:val="0"/>
          <w:sz w:val="24"/>
          <w:szCs w:val="24"/>
          <w:lang w:eastAsia="es-UY"/>
          <w14:ligatures w14:val="none"/>
        </w:rPr>
      </w:pPr>
      <w:r w:rsidRPr="00130B51">
        <w:rPr>
          <w:rFonts w:ascii="Arial" w:eastAsia="Times New Roman" w:hAnsi="Arial" w:cs="Arial"/>
          <w:color w:val="222222"/>
          <w:kern w:val="0"/>
          <w:sz w:val="24"/>
          <w:szCs w:val="24"/>
          <w:lang w:eastAsia="es-UY"/>
          <w14:ligatures w14:val="none"/>
        </w:rPr>
        <w:br/>
      </w:r>
    </w:p>
    <w:p w14:paraId="17F01774" w14:textId="77777777" w:rsidR="00130B51" w:rsidRPr="00130B51" w:rsidRDefault="00130B51" w:rsidP="00130B5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30B51">
        <w:rPr>
          <w:rFonts w:ascii="Arial" w:eastAsia="Times New Roman" w:hAnsi="Arial" w:cs="Arial"/>
          <w:color w:val="1F1F1F"/>
          <w:kern w:val="0"/>
          <w:lang w:eastAsia="es-UY"/>
          <w14:ligatures w14:val="none"/>
        </w:rPr>
        <w:t xml:space="preserve">La resolución de la crisis climática requiere </w:t>
      </w:r>
      <w:r w:rsidRPr="00130B51">
        <w:rPr>
          <w:rFonts w:ascii="Arial" w:eastAsia="Times New Roman" w:hAnsi="Arial" w:cs="Arial"/>
          <w:b/>
          <w:bCs/>
          <w:color w:val="1F1F1F"/>
          <w:kern w:val="0"/>
          <w:lang w:eastAsia="es-UY"/>
          <w14:ligatures w14:val="none"/>
        </w:rPr>
        <w:t>reformas estructurales globales avaladas por las instituciones judiciales internacionales</w:t>
      </w:r>
      <w:r w:rsidRPr="00130B51">
        <w:rPr>
          <w:rFonts w:ascii="Arial" w:eastAsia="Times New Roman" w:hAnsi="Arial" w:cs="Arial"/>
          <w:color w:val="1F1F1F"/>
          <w:kern w:val="0"/>
          <w:lang w:eastAsia="es-UY"/>
          <w14:ligatures w14:val="none"/>
        </w:rPr>
        <w:t>, especialmente cuando la crisis del agua provoca que uno de cada cinco pozos excavados para comunidades vulnerables salga seco. La influencia de las élites económicas en las negociaciones climáticas ha debilitado históricamente los compromisos colectivos, anulando cada año los ahorros de carbono que generan casi un millón de turbinas eólicas en marcha y retrasando la implementación de normativas eficaces de control de emisiones y distribución justa del esfuerzo de mitigación.</w:t>
      </w:r>
    </w:p>
    <w:p w14:paraId="70C06B38" w14:textId="77777777" w:rsidR="00130B51" w:rsidRPr="00130B51" w:rsidRDefault="00130B51" w:rsidP="00130B51">
      <w:pPr>
        <w:spacing w:after="0" w:line="240" w:lineRule="auto"/>
        <w:jc w:val="both"/>
        <w:rPr>
          <w:rFonts w:ascii="Times New Roman" w:eastAsia="Times New Roman" w:hAnsi="Times New Roman" w:cs="Times New Roman"/>
          <w:kern w:val="0"/>
          <w:sz w:val="24"/>
          <w:szCs w:val="24"/>
          <w:lang w:eastAsia="es-UY"/>
          <w14:ligatures w14:val="none"/>
        </w:rPr>
      </w:pPr>
      <w:r w:rsidRPr="00130B51">
        <w:rPr>
          <w:rFonts w:ascii="Arial" w:eastAsia="Times New Roman" w:hAnsi="Arial" w:cs="Arial"/>
          <w:color w:val="222222"/>
          <w:kern w:val="0"/>
          <w:sz w:val="24"/>
          <w:szCs w:val="24"/>
          <w:lang w:eastAsia="es-UY"/>
          <w14:ligatures w14:val="none"/>
        </w:rPr>
        <w:br/>
      </w:r>
    </w:p>
    <w:p w14:paraId="20DE43E3" w14:textId="77777777" w:rsidR="00130B51" w:rsidRPr="00130B51" w:rsidRDefault="00130B51" w:rsidP="00130B5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30B51">
        <w:rPr>
          <w:rFonts w:ascii="Arial" w:eastAsia="Times New Roman" w:hAnsi="Arial" w:cs="Arial"/>
          <w:color w:val="1F1F1F"/>
          <w:kern w:val="0"/>
          <w:lang w:eastAsia="es-UY"/>
          <w14:ligatures w14:val="none"/>
        </w:rPr>
        <w:t>A nivel doméstico, el ciudadano promedio evalúa aspectos técnicos para optimizar sus recursos, contrastando que frente a las 4,1 toneladas de carbono medias anuales por habitante, el estilo de vida de los más ricos multiplica los recursos y el</w:t>
      </w:r>
      <w:hyperlink r:id="rId9" w:tgtFrame="_blank" w:history="1">
        <w:r w:rsidRPr="00130B51">
          <w:rPr>
            <w:rFonts w:ascii="Arial" w:eastAsia="Times New Roman" w:hAnsi="Arial" w:cs="Arial"/>
            <w:color w:val="1F1F1F"/>
            <w:kern w:val="0"/>
            <w:lang w:eastAsia="es-UY"/>
            <w14:ligatures w14:val="none"/>
          </w:rPr>
          <w:t xml:space="preserve"> </w:t>
        </w:r>
        <w:r w:rsidRPr="00130B51">
          <w:rPr>
            <w:rFonts w:ascii="Arial" w:eastAsia="Times New Roman" w:hAnsi="Arial" w:cs="Arial"/>
            <w:color w:val="1F1F1F"/>
            <w:kern w:val="0"/>
            <w:u w:val="single"/>
            <w:lang w:eastAsia="es-UY"/>
            <w14:ligatures w14:val="none"/>
          </w:rPr>
          <w:t>consumo eléctrico de una vivienda</w:t>
        </w:r>
      </w:hyperlink>
      <w:r w:rsidRPr="00130B51">
        <w:rPr>
          <w:rFonts w:ascii="Arial" w:eastAsia="Times New Roman" w:hAnsi="Arial" w:cs="Arial"/>
          <w:color w:val="1F1F1F"/>
          <w:kern w:val="0"/>
          <w:lang w:eastAsia="es-UY"/>
          <w14:ligatures w14:val="none"/>
        </w:rPr>
        <w:t xml:space="preserve"> estándar. Mientras la población considera la opción de</w:t>
      </w:r>
      <w:hyperlink r:id="rId10" w:tgtFrame="_blank" w:history="1">
        <w:r w:rsidRPr="00130B51">
          <w:rPr>
            <w:rFonts w:ascii="Arial" w:eastAsia="Times New Roman" w:hAnsi="Arial" w:cs="Arial"/>
            <w:color w:val="1F1F1F"/>
            <w:kern w:val="0"/>
            <w:lang w:eastAsia="es-UY"/>
            <w14:ligatures w14:val="none"/>
          </w:rPr>
          <w:t xml:space="preserve"> </w:t>
        </w:r>
        <w:r w:rsidRPr="00130B51">
          <w:rPr>
            <w:rFonts w:ascii="Arial" w:eastAsia="Times New Roman" w:hAnsi="Arial" w:cs="Arial"/>
            <w:color w:val="1F1F1F"/>
            <w:kern w:val="0"/>
            <w:u w:val="single"/>
            <w:lang w:eastAsia="es-UY"/>
            <w14:ligatures w14:val="none"/>
          </w:rPr>
          <w:t>reducir la potencia contratada</w:t>
        </w:r>
      </w:hyperlink>
      <w:r w:rsidRPr="00130B51">
        <w:rPr>
          <w:rFonts w:ascii="Arial" w:eastAsia="Times New Roman" w:hAnsi="Arial" w:cs="Arial"/>
          <w:color w:val="1F1F1F"/>
          <w:kern w:val="0"/>
          <w:lang w:eastAsia="es-UY"/>
          <w14:ligatures w14:val="none"/>
        </w:rPr>
        <w:t xml:space="preserve"> para mitigar gastos condicionados por las oscilaciones en las</w:t>
      </w:r>
      <w:hyperlink r:id="rId11" w:tgtFrame="_blank" w:history="1">
        <w:r w:rsidRPr="00130B51">
          <w:rPr>
            <w:rFonts w:ascii="Arial" w:eastAsia="Times New Roman" w:hAnsi="Arial" w:cs="Arial"/>
            <w:color w:val="1F1F1F"/>
            <w:kern w:val="0"/>
            <w:lang w:eastAsia="es-UY"/>
            <w14:ligatures w14:val="none"/>
          </w:rPr>
          <w:t xml:space="preserve"> </w:t>
        </w:r>
        <w:r w:rsidRPr="00130B51">
          <w:rPr>
            <w:rFonts w:ascii="Arial" w:eastAsia="Times New Roman" w:hAnsi="Arial" w:cs="Arial"/>
            <w:color w:val="1F1F1F"/>
            <w:kern w:val="0"/>
            <w:u w:val="single"/>
            <w:lang w:eastAsia="es-UY"/>
            <w14:ligatures w14:val="none"/>
          </w:rPr>
          <w:t>tarifas de electricidad</w:t>
        </w:r>
      </w:hyperlink>
      <w:r w:rsidRPr="00130B51">
        <w:rPr>
          <w:rFonts w:ascii="Arial" w:eastAsia="Times New Roman" w:hAnsi="Arial" w:cs="Arial"/>
          <w:color w:val="1F1F1F"/>
          <w:kern w:val="0"/>
          <w:lang w:eastAsia="es-UY"/>
          <w14:ligatures w14:val="none"/>
        </w:rPr>
        <w:t xml:space="preserve">, Oxfam Intermón incide en que una redistribución para garantizar un suelo de prosperidad de 25 dólares diarios reduciría un 10% las emisiones globales (el equivalente a toda la Unión Europea). Estas acciones del 99% restante resultan insuficientes si no se implementa un modelo equitativo que </w:t>
      </w:r>
      <w:r w:rsidRPr="00130B51">
        <w:rPr>
          <w:rFonts w:ascii="Arial" w:eastAsia="Times New Roman" w:hAnsi="Arial" w:cs="Arial"/>
          <w:b/>
          <w:bCs/>
          <w:color w:val="1F1F1F"/>
          <w:kern w:val="0"/>
          <w:lang w:eastAsia="es-UY"/>
          <w14:ligatures w14:val="none"/>
        </w:rPr>
        <w:t>sitúe el control del sobreconsumo de los superricos en el centro de la estrategia ambiental</w:t>
      </w:r>
      <w:r w:rsidRPr="00130B51">
        <w:rPr>
          <w:rFonts w:ascii="Arial" w:eastAsia="Times New Roman" w:hAnsi="Arial" w:cs="Arial"/>
          <w:color w:val="1F1F1F"/>
          <w:kern w:val="0"/>
          <w:lang w:eastAsia="es-UY"/>
          <w14:ligatures w14:val="none"/>
        </w:rPr>
        <w:t>, permitiendo a los hogares vulnerables encontrar la</w:t>
      </w:r>
      <w:hyperlink r:id="rId12" w:tgtFrame="_blank" w:history="1">
        <w:r w:rsidRPr="00130B51">
          <w:rPr>
            <w:rFonts w:ascii="Arial" w:eastAsia="Times New Roman" w:hAnsi="Arial" w:cs="Arial"/>
            <w:color w:val="1F1F1F"/>
            <w:kern w:val="0"/>
            <w:lang w:eastAsia="es-UY"/>
            <w14:ligatures w14:val="none"/>
          </w:rPr>
          <w:t xml:space="preserve"> </w:t>
        </w:r>
        <w:r w:rsidRPr="00130B51">
          <w:rPr>
            <w:rFonts w:ascii="Arial" w:eastAsia="Times New Roman" w:hAnsi="Arial" w:cs="Arial"/>
            <w:color w:val="1F1F1F"/>
            <w:kern w:val="0"/>
            <w:u w:val="single"/>
            <w:lang w:eastAsia="es-UY"/>
            <w14:ligatures w14:val="none"/>
          </w:rPr>
          <w:t>mejor tarifa de luz</w:t>
        </w:r>
      </w:hyperlink>
      <w:r w:rsidRPr="00130B51">
        <w:rPr>
          <w:rFonts w:ascii="Arial" w:eastAsia="Times New Roman" w:hAnsi="Arial" w:cs="Arial"/>
          <w:color w:val="1F1F1F"/>
          <w:kern w:val="0"/>
          <w:lang w:eastAsia="es-UY"/>
          <w14:ligatures w14:val="none"/>
        </w:rPr>
        <w:t xml:space="preserve"> sin cargar con los costes de las mayores fortunas del planeta.</w:t>
      </w:r>
    </w:p>
    <w:p w14:paraId="09DF12FE" w14:textId="77777777" w:rsidR="00130B51" w:rsidRPr="00130B51" w:rsidRDefault="00130B51" w:rsidP="00130B51">
      <w:pPr>
        <w:spacing w:after="0" w:line="240" w:lineRule="auto"/>
        <w:rPr>
          <w:rFonts w:ascii="Times New Roman" w:eastAsia="Times New Roman" w:hAnsi="Times New Roman" w:cs="Times New Roman"/>
          <w:kern w:val="0"/>
          <w:sz w:val="24"/>
          <w:szCs w:val="24"/>
          <w:lang w:eastAsia="es-UY"/>
          <w14:ligatures w14:val="none"/>
        </w:rPr>
      </w:pPr>
      <w:r w:rsidRPr="00130B51">
        <w:rPr>
          <w:rFonts w:ascii="Arial" w:eastAsia="Times New Roman" w:hAnsi="Arial" w:cs="Arial"/>
          <w:color w:val="222222"/>
          <w:kern w:val="0"/>
          <w:sz w:val="24"/>
          <w:szCs w:val="24"/>
          <w:lang w:eastAsia="es-UY"/>
          <w14:ligatures w14:val="none"/>
        </w:rPr>
        <w:br/>
      </w:r>
    </w:p>
    <w:p w14:paraId="4DE83E3D" w14:textId="77777777" w:rsidR="00130B51" w:rsidRPr="00130B51" w:rsidRDefault="00130B51" w:rsidP="00130B51">
      <w:pPr>
        <w:shd w:val="clear" w:color="auto" w:fill="FFFFFF"/>
        <w:spacing w:after="0" w:line="240" w:lineRule="auto"/>
        <w:rPr>
          <w:rFonts w:ascii="Arial" w:eastAsia="Times New Roman" w:hAnsi="Arial" w:cs="Arial"/>
          <w:color w:val="222222"/>
          <w:kern w:val="0"/>
          <w:sz w:val="24"/>
          <w:szCs w:val="24"/>
          <w:lang w:eastAsia="es-UY"/>
          <w14:ligatures w14:val="none"/>
        </w:rPr>
      </w:pPr>
      <w:r w:rsidRPr="00130B51">
        <w:rPr>
          <w:rFonts w:ascii="Arial" w:eastAsia="Times New Roman" w:hAnsi="Arial" w:cs="Arial"/>
          <w:color w:val="1F1F1F"/>
          <w:kern w:val="0"/>
          <w:lang w:eastAsia="es-UY"/>
          <w14:ligatures w14:val="none"/>
        </w:rPr>
        <w:t xml:space="preserve">Fuente: </w:t>
      </w:r>
      <w:hyperlink r:id="rId13" w:tgtFrame="_blank" w:history="1">
        <w:r w:rsidRPr="00130B51">
          <w:rPr>
            <w:rFonts w:ascii="Arial" w:eastAsia="Times New Roman" w:hAnsi="Arial" w:cs="Arial"/>
            <w:color w:val="1155CC"/>
            <w:kern w:val="0"/>
            <w:u w:val="single"/>
            <w:lang w:eastAsia="es-UY"/>
            <w14:ligatures w14:val="none"/>
          </w:rPr>
          <w:t>papernest.es</w:t>
        </w:r>
      </w:hyperlink>
    </w:p>
    <w:p w14:paraId="58606A4D" w14:textId="6515D214" w:rsidR="00926044" w:rsidRDefault="00130B51">
      <w:r>
        <w:t>Laura Sánchez</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F732E"/>
    <w:multiLevelType w:val="multilevel"/>
    <w:tmpl w:val="473C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0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51"/>
    <w:rsid w:val="00130B51"/>
    <w:rsid w:val="006109F3"/>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27B0"/>
  <w15:chartTrackingRefBased/>
  <w15:docId w15:val="{BE9D5D94-ABD8-4301-9719-488A22ED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0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0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0B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0B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0B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0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0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0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0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0B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0B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0B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0B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0B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0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0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0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0B51"/>
    <w:rPr>
      <w:rFonts w:eastAsiaTheme="majorEastAsia" w:cstheme="majorBidi"/>
      <w:color w:val="272727" w:themeColor="text1" w:themeTint="D8"/>
    </w:rPr>
  </w:style>
  <w:style w:type="paragraph" w:styleId="Ttulo">
    <w:name w:val="Title"/>
    <w:basedOn w:val="Normal"/>
    <w:next w:val="Normal"/>
    <w:link w:val="TtuloCar"/>
    <w:uiPriority w:val="10"/>
    <w:qFormat/>
    <w:rsid w:val="00130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0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0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0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0B51"/>
    <w:pPr>
      <w:spacing w:before="160"/>
      <w:jc w:val="center"/>
    </w:pPr>
    <w:rPr>
      <w:i/>
      <w:iCs/>
      <w:color w:val="404040" w:themeColor="text1" w:themeTint="BF"/>
    </w:rPr>
  </w:style>
  <w:style w:type="character" w:customStyle="1" w:styleId="CitaCar">
    <w:name w:val="Cita Car"/>
    <w:basedOn w:val="Fuentedeprrafopredeter"/>
    <w:link w:val="Cita"/>
    <w:uiPriority w:val="29"/>
    <w:rsid w:val="00130B51"/>
    <w:rPr>
      <w:i/>
      <w:iCs/>
      <w:color w:val="404040" w:themeColor="text1" w:themeTint="BF"/>
    </w:rPr>
  </w:style>
  <w:style w:type="paragraph" w:styleId="Prrafodelista">
    <w:name w:val="List Paragraph"/>
    <w:basedOn w:val="Normal"/>
    <w:uiPriority w:val="34"/>
    <w:qFormat/>
    <w:rsid w:val="00130B51"/>
    <w:pPr>
      <w:ind w:left="720"/>
      <w:contextualSpacing/>
    </w:pPr>
  </w:style>
  <w:style w:type="character" w:styleId="nfasisintenso">
    <w:name w:val="Intense Emphasis"/>
    <w:basedOn w:val="Fuentedeprrafopredeter"/>
    <w:uiPriority w:val="21"/>
    <w:qFormat/>
    <w:rsid w:val="00130B51"/>
    <w:rPr>
      <w:i/>
      <w:iCs/>
      <w:color w:val="0F4761" w:themeColor="accent1" w:themeShade="BF"/>
    </w:rPr>
  </w:style>
  <w:style w:type="paragraph" w:styleId="Citadestacada">
    <w:name w:val="Intense Quote"/>
    <w:basedOn w:val="Normal"/>
    <w:next w:val="Normal"/>
    <w:link w:val="CitadestacadaCar"/>
    <w:uiPriority w:val="30"/>
    <w:qFormat/>
    <w:rsid w:val="00130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0B51"/>
    <w:rPr>
      <w:i/>
      <w:iCs/>
      <w:color w:val="0F4761" w:themeColor="accent1" w:themeShade="BF"/>
    </w:rPr>
  </w:style>
  <w:style w:type="character" w:styleId="Referenciaintensa">
    <w:name w:val="Intense Reference"/>
    <w:basedOn w:val="Fuentedeprrafopredeter"/>
    <w:uiPriority w:val="32"/>
    <w:qFormat/>
    <w:rsid w:val="00130B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ernest.es/comparador-luz/" TargetMode="External"/><Relationship Id="rId13" Type="http://schemas.openxmlformats.org/officeDocument/2006/relationships/hyperlink" Target="http://papernest.es/" TargetMode="External"/><Relationship Id="rId3" Type="http://schemas.openxmlformats.org/officeDocument/2006/relationships/settings" Target="settings.xml"/><Relationship Id="rId7" Type="http://schemas.openxmlformats.org/officeDocument/2006/relationships/hyperlink" Target="https://www.papernest.es/info/reducir-consumo-energetico/" TargetMode="External"/><Relationship Id="rId12" Type="http://schemas.openxmlformats.org/officeDocument/2006/relationships/hyperlink" Target="https://www.papernest.es/comparador-luz/mejor-tarifa-l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pernest.es/tarifa-luz/" TargetMode="External"/><Relationship Id="rId11" Type="http://schemas.openxmlformats.org/officeDocument/2006/relationships/hyperlink" Target="https://www.papernest.es/precio-de-la-luz/hoy/" TargetMode="External"/><Relationship Id="rId5" Type="http://schemas.openxmlformats.org/officeDocument/2006/relationships/hyperlink" Target="https://www.papernest.es/info/huella-carbono/" TargetMode="External"/><Relationship Id="rId15" Type="http://schemas.openxmlformats.org/officeDocument/2006/relationships/theme" Target="theme/theme1.xml"/><Relationship Id="rId10" Type="http://schemas.openxmlformats.org/officeDocument/2006/relationships/hyperlink" Target="https://www.papernest.es/bajar-potencia/" TargetMode="External"/><Relationship Id="rId4" Type="http://schemas.openxmlformats.org/officeDocument/2006/relationships/webSettings" Target="webSettings.xml"/><Relationship Id="rId9" Type="http://schemas.openxmlformats.org/officeDocument/2006/relationships/hyperlink" Target="https://www.papernest.es/info/cuantos-megavatios-consume-una-cas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5099</Characters>
  <Application>Microsoft Office Word</Application>
  <DocSecurity>0</DocSecurity>
  <Lines>42</Lines>
  <Paragraphs>12</Paragraphs>
  <ScaleCrop>false</ScaleCrop>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2026-06-26T14:32:00Z</dcterms:created>
  <dcterms:modified xsi:type="dcterms:W3CDTF">2026-06-26T14:32:00Z</dcterms:modified>
</cp:coreProperties>
</file>