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3F70" w14:textId="77777777" w:rsidR="00A62097" w:rsidRPr="00A62097" w:rsidRDefault="00A62097" w:rsidP="00A62097">
      <w:pPr>
        <w:shd w:val="clear" w:color="auto" w:fill="FFFFFF"/>
        <w:spacing w:before="360" w:after="80" w:line="240" w:lineRule="auto"/>
        <w:outlineLvl w:val="1"/>
        <w:rPr>
          <w:rFonts w:ascii="Arial" w:eastAsia="Times New Roman" w:hAnsi="Arial" w:cs="Arial"/>
          <w:b/>
          <w:bCs/>
          <w:color w:val="222222"/>
          <w:kern w:val="0"/>
          <w:sz w:val="36"/>
          <w:szCs w:val="36"/>
          <w:lang w:eastAsia="es-UY"/>
          <w14:ligatures w14:val="none"/>
        </w:rPr>
      </w:pPr>
      <w:r w:rsidRPr="00A62097">
        <w:rPr>
          <w:rFonts w:ascii="Arial" w:eastAsia="Times New Roman" w:hAnsi="Arial" w:cs="Arial"/>
          <w:b/>
          <w:bCs/>
          <w:color w:val="000000"/>
          <w:kern w:val="0"/>
          <w:sz w:val="34"/>
          <w:szCs w:val="34"/>
          <w:lang w:eastAsia="es-UY"/>
          <w14:ligatures w14:val="none"/>
        </w:rPr>
        <w:t>La mayor planta solar del mundo con 60 millones de paneles no puede ocultar que India sigue dependiendo del carbón</w:t>
      </w:r>
    </w:p>
    <w:p w14:paraId="172DB51C"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En </w:t>
      </w:r>
      <w:proofErr w:type="spellStart"/>
      <w:r w:rsidRPr="00A62097">
        <w:rPr>
          <w:rFonts w:ascii="Arial" w:eastAsia="Times New Roman" w:hAnsi="Arial" w:cs="Arial"/>
          <w:color w:val="000000"/>
          <w:kern w:val="0"/>
          <w:lang w:eastAsia="es-UY"/>
          <w14:ligatures w14:val="none"/>
        </w:rPr>
        <w:t>Khavda</w:t>
      </w:r>
      <w:proofErr w:type="spellEnd"/>
      <w:r w:rsidRPr="00A62097">
        <w:rPr>
          <w:rFonts w:ascii="Arial" w:eastAsia="Times New Roman" w:hAnsi="Arial" w:cs="Arial"/>
          <w:color w:val="000000"/>
          <w:kern w:val="0"/>
          <w:lang w:eastAsia="es-UY"/>
          <w14:ligatures w14:val="none"/>
        </w:rPr>
        <w:t xml:space="preserve">, en el desierto salino del Rann de Kutch, Adani Green Energy opera ya </w:t>
      </w:r>
      <w:r w:rsidRPr="00A62097">
        <w:rPr>
          <w:rFonts w:ascii="Arial" w:eastAsia="Times New Roman" w:hAnsi="Arial" w:cs="Arial"/>
          <w:b/>
          <w:bCs/>
          <w:color w:val="000000"/>
          <w:kern w:val="0"/>
          <w:lang w:eastAsia="es-UY"/>
          <w14:ligatures w14:val="none"/>
        </w:rPr>
        <w:t>9,9 GW de capacidad solar</w:t>
      </w:r>
      <w:r w:rsidRPr="00A62097">
        <w:rPr>
          <w:rFonts w:ascii="Arial" w:eastAsia="Times New Roman" w:hAnsi="Arial" w:cs="Arial"/>
          <w:color w:val="000000"/>
          <w:kern w:val="0"/>
          <w:lang w:eastAsia="es-UY"/>
          <w14:ligatures w14:val="none"/>
        </w:rPr>
        <w:t xml:space="preserve"> y aspira a 30 GW para 2029. Con casi 60 millones de</w:t>
      </w:r>
      <w:hyperlink r:id="rId5" w:tgtFrame="_blank" w:history="1">
        <w:r w:rsidRPr="00A62097">
          <w:rPr>
            <w:rFonts w:ascii="Arial" w:eastAsia="Times New Roman" w:hAnsi="Arial" w:cs="Arial"/>
            <w:color w:val="000000"/>
            <w:kern w:val="0"/>
            <w:lang w:eastAsia="es-UY"/>
            <w14:ligatures w14:val="none"/>
          </w:rPr>
          <w:t xml:space="preserve"> </w:t>
        </w:r>
        <w:r w:rsidRPr="00A62097">
          <w:rPr>
            <w:rFonts w:ascii="Arial" w:eastAsia="Times New Roman" w:hAnsi="Arial" w:cs="Arial"/>
            <w:color w:val="1155CC"/>
            <w:kern w:val="0"/>
            <w:u w:val="single"/>
            <w:lang w:eastAsia="es-UY"/>
            <w14:ligatures w14:val="none"/>
          </w:rPr>
          <w:t>paneles solares</w:t>
        </w:r>
      </w:hyperlink>
      <w:r w:rsidRPr="00A62097">
        <w:rPr>
          <w:rFonts w:ascii="Arial" w:eastAsia="Times New Roman" w:hAnsi="Arial" w:cs="Arial"/>
          <w:color w:val="000000"/>
          <w:kern w:val="0"/>
          <w:lang w:eastAsia="es-UY"/>
          <w14:ligatures w14:val="none"/>
        </w:rPr>
        <w:t xml:space="preserve"> sobre más de 500 kilómetros cuadrados, el proyecto es </w:t>
      </w:r>
      <w:r w:rsidRPr="00A62097">
        <w:rPr>
          <w:rFonts w:ascii="Arial" w:eastAsia="Times New Roman" w:hAnsi="Arial" w:cs="Arial"/>
          <w:b/>
          <w:bCs/>
          <w:color w:val="000000"/>
          <w:kern w:val="0"/>
          <w:lang w:eastAsia="es-UY"/>
          <w14:ligatures w14:val="none"/>
        </w:rPr>
        <w:t>la mayor instalación de</w:t>
      </w:r>
      <w:hyperlink r:id="rId6" w:tgtFrame="_blank" w:history="1">
        <w:r w:rsidRPr="00A62097">
          <w:rPr>
            <w:rFonts w:ascii="Arial" w:eastAsia="Times New Roman" w:hAnsi="Arial" w:cs="Arial"/>
            <w:b/>
            <w:bCs/>
            <w:color w:val="000000"/>
            <w:kern w:val="0"/>
            <w:lang w:eastAsia="es-UY"/>
            <w14:ligatures w14:val="none"/>
          </w:rPr>
          <w:t xml:space="preserve"> </w:t>
        </w:r>
        <w:r w:rsidRPr="00A62097">
          <w:rPr>
            <w:rFonts w:ascii="Arial" w:eastAsia="Times New Roman" w:hAnsi="Arial" w:cs="Arial"/>
            <w:b/>
            <w:bCs/>
            <w:color w:val="1155CC"/>
            <w:kern w:val="0"/>
            <w:u w:val="single"/>
            <w:lang w:eastAsia="es-UY"/>
            <w14:ligatures w14:val="none"/>
          </w:rPr>
          <w:t>energía solar</w:t>
        </w:r>
      </w:hyperlink>
      <w:r w:rsidRPr="00A62097">
        <w:rPr>
          <w:rFonts w:ascii="Arial" w:eastAsia="Times New Roman" w:hAnsi="Arial" w:cs="Arial"/>
          <w:b/>
          <w:bCs/>
          <w:color w:val="000000"/>
          <w:kern w:val="0"/>
          <w:lang w:eastAsia="es-UY"/>
          <w14:ligatures w14:val="none"/>
        </w:rPr>
        <w:t xml:space="preserve"> del mundo</w:t>
      </w:r>
      <w:r w:rsidRPr="00A62097">
        <w:rPr>
          <w:rFonts w:ascii="Arial" w:eastAsia="Times New Roman" w:hAnsi="Arial" w:cs="Arial"/>
          <w:color w:val="000000"/>
          <w:kern w:val="0"/>
          <w:lang w:eastAsia="es-UY"/>
          <w14:ligatures w14:val="none"/>
        </w:rPr>
        <w:t xml:space="preserve">. Es también el telón de fondo de una contradicción que el sector renovable prefiere ignorar: en 2024, </w:t>
      </w:r>
      <w:r w:rsidRPr="00A62097">
        <w:rPr>
          <w:rFonts w:ascii="Arial" w:eastAsia="Times New Roman" w:hAnsi="Arial" w:cs="Arial"/>
          <w:b/>
          <w:bCs/>
          <w:color w:val="000000"/>
          <w:kern w:val="0"/>
          <w:lang w:eastAsia="es-UY"/>
          <w14:ligatures w14:val="none"/>
        </w:rPr>
        <w:t>el carbón suministró casi tres cuartas partes de la electricidad</w:t>
      </w:r>
      <w:r w:rsidRPr="00A62097">
        <w:rPr>
          <w:rFonts w:ascii="Arial" w:eastAsia="Times New Roman" w:hAnsi="Arial" w:cs="Arial"/>
          <w:color w:val="000000"/>
          <w:kern w:val="0"/>
          <w:lang w:eastAsia="es-UY"/>
          <w14:ligatures w14:val="none"/>
        </w:rPr>
        <w:t xml:space="preserve"> de un país que bate récords solares cada trimestre.</w:t>
      </w:r>
    </w:p>
    <w:p w14:paraId="4F89ABBE" w14:textId="77777777" w:rsidR="00A62097" w:rsidRPr="00A62097" w:rsidRDefault="00A62097" w:rsidP="00A62097">
      <w:pPr>
        <w:shd w:val="clear" w:color="auto" w:fill="FFFFFF"/>
        <w:spacing w:before="280" w:after="80" w:line="240" w:lineRule="auto"/>
        <w:outlineLvl w:val="2"/>
        <w:rPr>
          <w:rFonts w:ascii="Arial" w:eastAsia="Times New Roman" w:hAnsi="Arial" w:cs="Arial"/>
          <w:b/>
          <w:bCs/>
          <w:color w:val="222222"/>
          <w:kern w:val="0"/>
          <w:sz w:val="27"/>
          <w:szCs w:val="27"/>
          <w:lang w:eastAsia="es-UY"/>
          <w14:ligatures w14:val="none"/>
        </w:rPr>
      </w:pPr>
      <w:r w:rsidRPr="00A62097">
        <w:rPr>
          <w:rFonts w:ascii="Arial" w:eastAsia="Times New Roman" w:hAnsi="Arial" w:cs="Arial"/>
          <w:b/>
          <w:bCs/>
          <w:color w:val="000000"/>
          <w:kern w:val="0"/>
          <w:sz w:val="26"/>
          <w:szCs w:val="26"/>
          <w:lang w:eastAsia="es-UY"/>
          <w14:ligatures w14:val="none"/>
        </w:rPr>
        <w:t xml:space="preserve">El complejo de </w:t>
      </w:r>
      <w:proofErr w:type="spellStart"/>
      <w:r w:rsidRPr="00A62097">
        <w:rPr>
          <w:rFonts w:ascii="Arial" w:eastAsia="Times New Roman" w:hAnsi="Arial" w:cs="Arial"/>
          <w:b/>
          <w:bCs/>
          <w:color w:val="000000"/>
          <w:kern w:val="0"/>
          <w:sz w:val="26"/>
          <w:szCs w:val="26"/>
          <w:lang w:eastAsia="es-UY"/>
          <w14:ligatures w14:val="none"/>
        </w:rPr>
        <w:t>Khavda</w:t>
      </w:r>
      <w:proofErr w:type="spellEnd"/>
      <w:r w:rsidRPr="00A62097">
        <w:rPr>
          <w:rFonts w:ascii="Arial" w:eastAsia="Times New Roman" w:hAnsi="Arial" w:cs="Arial"/>
          <w:b/>
          <w:bCs/>
          <w:color w:val="000000"/>
          <w:kern w:val="0"/>
          <w:sz w:val="26"/>
          <w:szCs w:val="26"/>
          <w:lang w:eastAsia="es-UY"/>
          <w14:ligatures w14:val="none"/>
        </w:rPr>
        <w:t xml:space="preserve"> y la escala del despliegue indio</w:t>
      </w:r>
    </w:p>
    <w:p w14:paraId="6F8E772E"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India cerró el ejercicio fiscal 2025-2026 con </w:t>
      </w:r>
      <w:r w:rsidRPr="00A62097">
        <w:rPr>
          <w:rFonts w:ascii="Arial" w:eastAsia="Times New Roman" w:hAnsi="Arial" w:cs="Arial"/>
          <w:b/>
          <w:bCs/>
          <w:color w:val="000000"/>
          <w:kern w:val="0"/>
          <w:lang w:eastAsia="es-UY"/>
          <w14:ligatures w14:val="none"/>
        </w:rPr>
        <w:t>154,24 GW de capacidad solar instalada</w:t>
      </w:r>
      <w:r w:rsidRPr="00A62097">
        <w:rPr>
          <w:rFonts w:ascii="Arial" w:eastAsia="Times New Roman" w:hAnsi="Arial" w:cs="Arial"/>
          <w:color w:val="000000"/>
          <w:kern w:val="0"/>
          <w:lang w:eastAsia="es-UY"/>
          <w14:ligatures w14:val="none"/>
        </w:rPr>
        <w:t xml:space="preserve">, tras añadir 44,61 GW en un solo año, el mayor incremento anual de su historia. En </w:t>
      </w:r>
      <w:proofErr w:type="spellStart"/>
      <w:r w:rsidRPr="00A62097">
        <w:rPr>
          <w:rFonts w:ascii="Arial" w:eastAsia="Times New Roman" w:hAnsi="Arial" w:cs="Arial"/>
          <w:color w:val="000000"/>
          <w:kern w:val="0"/>
          <w:lang w:eastAsia="es-UY"/>
          <w14:ligatures w14:val="none"/>
        </w:rPr>
        <w:t>Khavda</w:t>
      </w:r>
      <w:proofErr w:type="spellEnd"/>
      <w:r w:rsidRPr="00A62097">
        <w:rPr>
          <w:rFonts w:ascii="Arial" w:eastAsia="Times New Roman" w:hAnsi="Arial" w:cs="Arial"/>
          <w:color w:val="000000"/>
          <w:kern w:val="0"/>
          <w:lang w:eastAsia="es-UY"/>
          <w14:ligatures w14:val="none"/>
        </w:rPr>
        <w:t xml:space="preserve">, esa estadística tiene forma física: robots autónomos que limpian los módulos sin consumir agua en una zona árida, y </w:t>
      </w:r>
      <w:r w:rsidRPr="00A62097">
        <w:rPr>
          <w:rFonts w:ascii="Arial" w:eastAsia="Times New Roman" w:hAnsi="Arial" w:cs="Arial"/>
          <w:b/>
          <w:bCs/>
          <w:color w:val="000000"/>
          <w:kern w:val="0"/>
          <w:lang w:eastAsia="es-UY"/>
          <w14:ligatures w14:val="none"/>
        </w:rPr>
        <w:t>un sistema de baterías de 3,37 GWh</w:t>
      </w:r>
      <w:r w:rsidRPr="00A62097">
        <w:rPr>
          <w:rFonts w:ascii="Arial" w:eastAsia="Times New Roman" w:hAnsi="Arial" w:cs="Arial"/>
          <w:color w:val="000000"/>
          <w:kern w:val="0"/>
          <w:lang w:eastAsia="es-UY"/>
          <w14:ligatures w14:val="none"/>
        </w:rPr>
        <w:t xml:space="preserve"> que Adani presenta como el mayor en una única ubicación fuera de China.</w:t>
      </w:r>
    </w:p>
    <w:p w14:paraId="477F13C6"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La velocidad del despliegue es el dato más revelador. En una década, India ha pasado de proyectos piloto rurales a </w:t>
      </w:r>
      <w:r w:rsidRPr="00A62097">
        <w:rPr>
          <w:rFonts w:ascii="Arial" w:eastAsia="Times New Roman" w:hAnsi="Arial" w:cs="Arial"/>
          <w:b/>
          <w:bCs/>
          <w:color w:val="000000"/>
          <w:kern w:val="0"/>
          <w:lang w:eastAsia="es-UY"/>
          <w14:ligatures w14:val="none"/>
        </w:rPr>
        <w:t xml:space="preserve">competir con China en la escala de sus </w:t>
      </w:r>
      <w:proofErr w:type="spellStart"/>
      <w:r w:rsidRPr="00A62097">
        <w:rPr>
          <w:rFonts w:ascii="Arial" w:eastAsia="Times New Roman" w:hAnsi="Arial" w:cs="Arial"/>
          <w:b/>
          <w:bCs/>
          <w:color w:val="000000"/>
          <w:kern w:val="0"/>
          <w:lang w:eastAsia="es-UY"/>
          <w14:ligatures w14:val="none"/>
        </w:rPr>
        <w:t>megacomplejos</w:t>
      </w:r>
      <w:proofErr w:type="spellEnd"/>
      <w:r w:rsidRPr="00A62097">
        <w:rPr>
          <w:rFonts w:ascii="Arial" w:eastAsia="Times New Roman" w:hAnsi="Arial" w:cs="Arial"/>
          <w:color w:val="000000"/>
          <w:kern w:val="0"/>
          <w:lang w:eastAsia="es-UY"/>
          <w14:ligatures w14:val="none"/>
        </w:rPr>
        <w:t xml:space="preserve">. El analista Kingsmill Bond lo resume con una frase de precisión incómoda: China construyó sobre el carbón, India está construyendo sobre el sol. El problema es que </w:t>
      </w:r>
      <w:r w:rsidRPr="00A62097">
        <w:rPr>
          <w:rFonts w:ascii="Arial" w:eastAsia="Times New Roman" w:hAnsi="Arial" w:cs="Arial"/>
          <w:b/>
          <w:bCs/>
          <w:color w:val="000000"/>
          <w:kern w:val="0"/>
          <w:lang w:eastAsia="es-UY"/>
          <w14:ligatures w14:val="none"/>
        </w:rPr>
        <w:t>ambas cosas son simultáneamente ciertas</w:t>
      </w:r>
      <w:r w:rsidRPr="00A62097">
        <w:rPr>
          <w:rFonts w:ascii="Arial" w:eastAsia="Times New Roman" w:hAnsi="Arial" w:cs="Arial"/>
          <w:color w:val="000000"/>
          <w:kern w:val="0"/>
          <w:lang w:eastAsia="es-UY"/>
          <w14:ligatures w14:val="none"/>
        </w:rPr>
        <w:t>.</w:t>
      </w:r>
    </w:p>
    <w:p w14:paraId="71267AB4" w14:textId="77777777" w:rsidR="00A62097" w:rsidRPr="00A62097" w:rsidRDefault="00A62097" w:rsidP="00A62097">
      <w:pPr>
        <w:shd w:val="clear" w:color="auto" w:fill="FFFFFF"/>
        <w:spacing w:before="280" w:after="80" w:line="240" w:lineRule="auto"/>
        <w:outlineLvl w:val="2"/>
        <w:rPr>
          <w:rFonts w:ascii="Arial" w:eastAsia="Times New Roman" w:hAnsi="Arial" w:cs="Arial"/>
          <w:b/>
          <w:bCs/>
          <w:color w:val="222222"/>
          <w:kern w:val="0"/>
          <w:sz w:val="27"/>
          <w:szCs w:val="27"/>
          <w:lang w:eastAsia="es-UY"/>
          <w14:ligatures w14:val="none"/>
        </w:rPr>
      </w:pPr>
      <w:r w:rsidRPr="00A62097">
        <w:rPr>
          <w:rFonts w:ascii="Arial" w:eastAsia="Times New Roman" w:hAnsi="Arial" w:cs="Arial"/>
          <w:b/>
          <w:bCs/>
          <w:color w:val="000000"/>
          <w:kern w:val="0"/>
          <w:sz w:val="26"/>
          <w:szCs w:val="26"/>
          <w:lang w:eastAsia="es-UY"/>
          <w14:ligatures w14:val="none"/>
        </w:rPr>
        <w:t>La dependencia del carbón como contradicción estructural</w:t>
      </w:r>
    </w:p>
    <w:p w14:paraId="6C3E3B2E"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En 2024, </w:t>
      </w:r>
      <w:r w:rsidRPr="00A62097">
        <w:rPr>
          <w:rFonts w:ascii="Arial" w:eastAsia="Times New Roman" w:hAnsi="Arial" w:cs="Arial"/>
          <w:b/>
          <w:bCs/>
          <w:color w:val="000000"/>
          <w:kern w:val="0"/>
          <w:lang w:eastAsia="es-UY"/>
          <w14:ligatures w14:val="none"/>
        </w:rPr>
        <w:t>el carbón suministró casi tres cuartas partes de la electricidad india</w:t>
      </w:r>
      <w:r w:rsidRPr="00A62097">
        <w:rPr>
          <w:rFonts w:ascii="Arial" w:eastAsia="Times New Roman" w:hAnsi="Arial" w:cs="Arial"/>
          <w:color w:val="000000"/>
          <w:kern w:val="0"/>
          <w:lang w:eastAsia="es-UY"/>
          <w14:ligatures w14:val="none"/>
        </w:rPr>
        <w:t>, con</w:t>
      </w:r>
      <w:hyperlink r:id="rId7" w:tgtFrame="_blank" w:history="1">
        <w:r w:rsidRPr="00A62097">
          <w:rPr>
            <w:rFonts w:ascii="Arial" w:eastAsia="Times New Roman" w:hAnsi="Arial" w:cs="Arial"/>
            <w:color w:val="000000"/>
            <w:kern w:val="0"/>
            <w:lang w:eastAsia="es-UY"/>
            <w14:ligatures w14:val="none"/>
          </w:rPr>
          <w:t xml:space="preserve"> </w:t>
        </w:r>
        <w:r w:rsidRPr="00A62097">
          <w:rPr>
            <w:rFonts w:ascii="Arial" w:eastAsia="Times New Roman" w:hAnsi="Arial" w:cs="Arial"/>
            <w:color w:val="1155CC"/>
            <w:kern w:val="0"/>
            <w:u w:val="single"/>
            <w:lang w:eastAsia="es-UY"/>
            <w14:ligatures w14:val="none"/>
          </w:rPr>
          <w:t>las renovables</w:t>
        </w:r>
      </w:hyperlink>
      <w:r w:rsidRPr="00A62097">
        <w:rPr>
          <w:rFonts w:ascii="Arial" w:eastAsia="Times New Roman" w:hAnsi="Arial" w:cs="Arial"/>
          <w:color w:val="000000"/>
          <w:kern w:val="0"/>
          <w:lang w:eastAsia="es-UY"/>
          <w14:ligatures w14:val="none"/>
        </w:rPr>
        <w:t xml:space="preserve"> cubriendo apenas el 20 por ciento de la generación. La Agencia Internacional de la Energía advirtió que su crecimiento no bastará por sí solo para absorber el aumento de demanda previsto. Instalar capacidad solar récord y seguir operando centrales de carbón responde a la lógica de </w:t>
      </w:r>
      <w:r w:rsidRPr="00A62097">
        <w:rPr>
          <w:rFonts w:ascii="Arial" w:eastAsia="Times New Roman" w:hAnsi="Arial" w:cs="Arial"/>
          <w:b/>
          <w:bCs/>
          <w:color w:val="000000"/>
          <w:kern w:val="0"/>
          <w:lang w:eastAsia="es-UY"/>
          <w14:ligatures w14:val="none"/>
        </w:rPr>
        <w:t>una economía que necesita más electricidad de la que cualquier fuente única puede garantizar</w:t>
      </w:r>
      <w:r w:rsidRPr="00A62097">
        <w:rPr>
          <w:rFonts w:ascii="Arial" w:eastAsia="Times New Roman" w:hAnsi="Arial" w:cs="Arial"/>
          <w:color w:val="000000"/>
          <w:kern w:val="0"/>
          <w:lang w:eastAsia="es-UY"/>
          <w14:ligatures w14:val="none"/>
        </w:rPr>
        <w:t>.</w:t>
      </w:r>
    </w:p>
    <w:p w14:paraId="2A715437"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Esa contradicción estructural responde a una dinámica precisa:</w:t>
      </w:r>
    </w:p>
    <w:p w14:paraId="58B8893C" w14:textId="77777777" w:rsidR="00A62097" w:rsidRPr="00A62097" w:rsidRDefault="00A62097" w:rsidP="00A62097">
      <w:pPr>
        <w:numPr>
          <w:ilvl w:val="0"/>
          <w:numId w:val="1"/>
        </w:numPr>
        <w:spacing w:before="240" w:after="0" w:line="240" w:lineRule="auto"/>
        <w:ind w:left="945"/>
        <w:textAlignment w:val="baseline"/>
        <w:rPr>
          <w:rFonts w:ascii="Arial" w:eastAsia="Times New Roman" w:hAnsi="Arial" w:cs="Arial"/>
          <w:color w:val="000000"/>
          <w:kern w:val="0"/>
          <w:lang w:eastAsia="es-UY"/>
          <w14:ligatures w14:val="none"/>
        </w:rPr>
      </w:pPr>
      <w:r w:rsidRPr="00A62097">
        <w:rPr>
          <w:rFonts w:ascii="Arial" w:eastAsia="Times New Roman" w:hAnsi="Arial" w:cs="Arial"/>
          <w:color w:val="000000"/>
          <w:kern w:val="0"/>
          <w:lang w:eastAsia="es-UY"/>
          <w14:ligatures w14:val="none"/>
        </w:rPr>
        <w:t>La transición no consiste en sustituir el carbón el día que se instala un panel, sino en reducir su peso relativo mientras la demanda crece.</w:t>
      </w:r>
    </w:p>
    <w:p w14:paraId="3A75B909" w14:textId="77777777" w:rsidR="00A62097" w:rsidRPr="00A62097" w:rsidRDefault="00A62097" w:rsidP="00A62097">
      <w:pPr>
        <w:numPr>
          <w:ilvl w:val="0"/>
          <w:numId w:val="1"/>
        </w:numPr>
        <w:spacing w:after="0" w:line="240" w:lineRule="auto"/>
        <w:ind w:left="945"/>
        <w:textAlignment w:val="baseline"/>
        <w:rPr>
          <w:rFonts w:ascii="Arial" w:eastAsia="Times New Roman" w:hAnsi="Arial" w:cs="Arial"/>
          <w:color w:val="000000"/>
          <w:kern w:val="0"/>
          <w:lang w:eastAsia="es-UY"/>
          <w14:ligatures w14:val="none"/>
        </w:rPr>
      </w:pPr>
      <w:r w:rsidRPr="00A62097">
        <w:rPr>
          <w:rFonts w:ascii="Arial" w:eastAsia="Times New Roman" w:hAnsi="Arial" w:cs="Arial"/>
          <w:color w:val="000000"/>
          <w:kern w:val="0"/>
          <w:lang w:eastAsia="es-UY"/>
          <w14:ligatures w14:val="none"/>
        </w:rPr>
        <w:t>Un país puede batir récords de capacidad solar y emitir más CO</w:t>
      </w:r>
      <w:r w:rsidRPr="00A62097">
        <w:rPr>
          <w:rFonts w:ascii="Cambria Math" w:eastAsia="Times New Roman" w:hAnsi="Cambria Math" w:cs="Cambria Math"/>
          <w:color w:val="000000"/>
          <w:kern w:val="0"/>
          <w:lang w:eastAsia="es-UY"/>
          <w14:ligatures w14:val="none"/>
        </w:rPr>
        <w:t>₂</w:t>
      </w:r>
      <w:r w:rsidRPr="00A62097">
        <w:rPr>
          <w:rFonts w:ascii="Arial" w:eastAsia="Times New Roman" w:hAnsi="Arial" w:cs="Arial"/>
          <w:color w:val="000000"/>
          <w:kern w:val="0"/>
          <w:lang w:eastAsia="es-UY"/>
          <w14:ligatures w14:val="none"/>
        </w:rPr>
        <w:t xml:space="preserve"> que el año anterior si su economía avanza más rápido que su parque renovable.</w:t>
      </w:r>
    </w:p>
    <w:p w14:paraId="514859DF" w14:textId="77777777" w:rsidR="00A62097" w:rsidRPr="00A62097" w:rsidRDefault="00A62097" w:rsidP="00A62097">
      <w:pPr>
        <w:numPr>
          <w:ilvl w:val="0"/>
          <w:numId w:val="1"/>
        </w:numPr>
        <w:spacing w:after="240" w:line="240" w:lineRule="auto"/>
        <w:ind w:left="945"/>
        <w:textAlignment w:val="baseline"/>
        <w:rPr>
          <w:rFonts w:ascii="Arial" w:eastAsia="Times New Roman" w:hAnsi="Arial" w:cs="Arial"/>
          <w:color w:val="000000"/>
          <w:kern w:val="0"/>
          <w:lang w:eastAsia="es-UY"/>
          <w14:ligatures w14:val="none"/>
        </w:rPr>
      </w:pPr>
      <w:r w:rsidRPr="00A62097">
        <w:rPr>
          <w:rFonts w:ascii="Arial" w:eastAsia="Times New Roman" w:hAnsi="Arial" w:cs="Arial"/>
          <w:color w:val="000000"/>
          <w:kern w:val="0"/>
          <w:lang w:eastAsia="es-UY"/>
          <w14:ligatures w14:val="none"/>
        </w:rPr>
        <w:t>India se encuentra actualmente en ese punto exacto de tensión entre expansión renovable y dependencia fósil.</w:t>
      </w:r>
    </w:p>
    <w:p w14:paraId="5FACA46A" w14:textId="77777777" w:rsidR="00A62097" w:rsidRPr="00A62097" w:rsidRDefault="00A62097" w:rsidP="00A62097">
      <w:pPr>
        <w:shd w:val="clear" w:color="auto" w:fill="FFFFFF"/>
        <w:spacing w:before="280" w:after="80" w:line="240" w:lineRule="auto"/>
        <w:outlineLvl w:val="2"/>
        <w:rPr>
          <w:rFonts w:ascii="Arial" w:eastAsia="Times New Roman" w:hAnsi="Arial" w:cs="Arial"/>
          <w:b/>
          <w:bCs/>
          <w:color w:val="222222"/>
          <w:kern w:val="0"/>
          <w:sz w:val="27"/>
          <w:szCs w:val="27"/>
          <w:lang w:eastAsia="es-UY"/>
          <w14:ligatures w14:val="none"/>
        </w:rPr>
      </w:pPr>
      <w:r w:rsidRPr="00A62097">
        <w:rPr>
          <w:rFonts w:ascii="Arial" w:eastAsia="Times New Roman" w:hAnsi="Arial" w:cs="Arial"/>
          <w:b/>
          <w:bCs/>
          <w:color w:val="000000"/>
          <w:kern w:val="0"/>
          <w:sz w:val="26"/>
          <w:szCs w:val="26"/>
          <w:lang w:eastAsia="es-UY"/>
          <w14:ligatures w14:val="none"/>
        </w:rPr>
        <w:t>El almacenamiento y las redes como condición de viabilidad</w:t>
      </w:r>
    </w:p>
    <w:p w14:paraId="7D2C5FA1"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La respuesta a la intermitencia solar pasa por dos frentes: almacenamiento y redes. </w:t>
      </w:r>
      <w:r w:rsidRPr="00A62097">
        <w:rPr>
          <w:rFonts w:ascii="Arial" w:eastAsia="Times New Roman" w:hAnsi="Arial" w:cs="Arial"/>
          <w:b/>
          <w:bCs/>
          <w:color w:val="000000"/>
          <w:kern w:val="0"/>
          <w:lang w:eastAsia="es-UY"/>
          <w14:ligatures w14:val="none"/>
        </w:rPr>
        <w:t xml:space="preserve">NTPC </w:t>
      </w:r>
      <w:proofErr w:type="spellStart"/>
      <w:r w:rsidRPr="00A62097">
        <w:rPr>
          <w:rFonts w:ascii="Arial" w:eastAsia="Times New Roman" w:hAnsi="Arial" w:cs="Arial"/>
          <w:b/>
          <w:bCs/>
          <w:color w:val="000000"/>
          <w:kern w:val="0"/>
          <w:lang w:eastAsia="es-UY"/>
          <w14:ligatures w14:val="none"/>
        </w:rPr>
        <w:t>Renewable</w:t>
      </w:r>
      <w:proofErr w:type="spellEnd"/>
      <w:r w:rsidRPr="00A62097">
        <w:rPr>
          <w:rFonts w:ascii="Arial" w:eastAsia="Times New Roman" w:hAnsi="Arial" w:cs="Arial"/>
          <w:b/>
          <w:bCs/>
          <w:color w:val="000000"/>
          <w:kern w:val="0"/>
          <w:lang w:eastAsia="es-UY"/>
          <w14:ligatures w14:val="none"/>
        </w:rPr>
        <w:t xml:space="preserve"> Energy ha licitado la</w:t>
      </w:r>
      <w:hyperlink r:id="rId8" w:tgtFrame="_blank" w:history="1">
        <w:r w:rsidRPr="00A62097">
          <w:rPr>
            <w:rFonts w:ascii="Arial" w:eastAsia="Times New Roman" w:hAnsi="Arial" w:cs="Arial"/>
            <w:b/>
            <w:bCs/>
            <w:color w:val="000000"/>
            <w:kern w:val="0"/>
            <w:lang w:eastAsia="es-UY"/>
            <w14:ligatures w14:val="none"/>
          </w:rPr>
          <w:t xml:space="preserve"> </w:t>
        </w:r>
        <w:r w:rsidRPr="00A62097">
          <w:rPr>
            <w:rFonts w:ascii="Arial" w:eastAsia="Times New Roman" w:hAnsi="Arial" w:cs="Arial"/>
            <w:b/>
            <w:bCs/>
            <w:color w:val="1155CC"/>
            <w:kern w:val="0"/>
            <w:u w:val="single"/>
            <w:lang w:eastAsia="es-UY"/>
            <w14:ligatures w14:val="none"/>
          </w:rPr>
          <w:t>instalación</w:t>
        </w:r>
      </w:hyperlink>
      <w:r w:rsidRPr="00A62097">
        <w:rPr>
          <w:rFonts w:ascii="Arial" w:eastAsia="Times New Roman" w:hAnsi="Arial" w:cs="Arial"/>
          <w:b/>
          <w:bCs/>
          <w:color w:val="000000"/>
          <w:kern w:val="0"/>
          <w:lang w:eastAsia="es-UY"/>
          <w14:ligatures w14:val="none"/>
        </w:rPr>
        <w:t xml:space="preserve"> de un sistema de 300 MW y 1.200 </w:t>
      </w:r>
      <w:proofErr w:type="spellStart"/>
      <w:r w:rsidRPr="00A62097">
        <w:rPr>
          <w:rFonts w:ascii="Arial" w:eastAsia="Times New Roman" w:hAnsi="Arial" w:cs="Arial"/>
          <w:b/>
          <w:bCs/>
          <w:color w:val="000000"/>
          <w:kern w:val="0"/>
          <w:lang w:eastAsia="es-UY"/>
          <w14:ligatures w14:val="none"/>
        </w:rPr>
        <w:t>MWh</w:t>
      </w:r>
      <w:proofErr w:type="spellEnd"/>
      <w:r w:rsidRPr="00A62097">
        <w:rPr>
          <w:rFonts w:ascii="Arial" w:eastAsia="Times New Roman" w:hAnsi="Arial" w:cs="Arial"/>
          <w:color w:val="000000"/>
          <w:kern w:val="0"/>
          <w:lang w:eastAsia="es-UY"/>
          <w14:ligatures w14:val="none"/>
        </w:rPr>
        <w:t xml:space="preserve"> para su planta de </w:t>
      </w:r>
      <w:proofErr w:type="spellStart"/>
      <w:r w:rsidRPr="00A62097">
        <w:rPr>
          <w:rFonts w:ascii="Arial" w:eastAsia="Times New Roman" w:hAnsi="Arial" w:cs="Arial"/>
          <w:color w:val="000000"/>
          <w:kern w:val="0"/>
          <w:lang w:eastAsia="es-UY"/>
          <w14:ligatures w14:val="none"/>
        </w:rPr>
        <w:t>Nokhra</w:t>
      </w:r>
      <w:proofErr w:type="spellEnd"/>
      <w:r w:rsidRPr="00A62097">
        <w:rPr>
          <w:rFonts w:ascii="Arial" w:eastAsia="Times New Roman" w:hAnsi="Arial" w:cs="Arial"/>
          <w:color w:val="000000"/>
          <w:kern w:val="0"/>
          <w:lang w:eastAsia="es-UY"/>
          <w14:ligatures w14:val="none"/>
        </w:rPr>
        <w:t xml:space="preserve">, en </w:t>
      </w:r>
      <w:proofErr w:type="spellStart"/>
      <w:r w:rsidRPr="00A62097">
        <w:rPr>
          <w:rFonts w:ascii="Arial" w:eastAsia="Times New Roman" w:hAnsi="Arial" w:cs="Arial"/>
          <w:color w:val="000000"/>
          <w:kern w:val="0"/>
          <w:lang w:eastAsia="es-UY"/>
          <w14:ligatures w14:val="none"/>
        </w:rPr>
        <w:t>Rajastán</w:t>
      </w:r>
      <w:proofErr w:type="spellEnd"/>
      <w:r w:rsidRPr="00A62097">
        <w:rPr>
          <w:rFonts w:ascii="Arial" w:eastAsia="Times New Roman" w:hAnsi="Arial" w:cs="Arial"/>
          <w:color w:val="000000"/>
          <w:kern w:val="0"/>
          <w:lang w:eastAsia="es-UY"/>
          <w14:ligatures w14:val="none"/>
        </w:rPr>
        <w:t xml:space="preserve">, con una vida útil de 25 años, un mínimo de 10.000 ciclos y quince años de mantenimiento. No es una apuesta que </w:t>
      </w:r>
      <w:r w:rsidRPr="00A62097">
        <w:rPr>
          <w:rFonts w:ascii="Arial" w:eastAsia="Times New Roman" w:hAnsi="Arial" w:cs="Arial"/>
          <w:color w:val="000000"/>
          <w:kern w:val="0"/>
          <w:lang w:eastAsia="es-UY"/>
          <w14:ligatures w14:val="none"/>
        </w:rPr>
        <w:lastRenderedPageBreak/>
        <w:t>dependa de</w:t>
      </w:r>
      <w:hyperlink r:id="rId9" w:tgtFrame="_blank" w:history="1">
        <w:r w:rsidRPr="00A62097">
          <w:rPr>
            <w:rFonts w:ascii="Arial" w:eastAsia="Times New Roman" w:hAnsi="Arial" w:cs="Arial"/>
            <w:color w:val="000000"/>
            <w:kern w:val="0"/>
            <w:lang w:eastAsia="es-UY"/>
            <w14:ligatures w14:val="none"/>
          </w:rPr>
          <w:t xml:space="preserve"> </w:t>
        </w:r>
        <w:r w:rsidRPr="00A62097">
          <w:rPr>
            <w:rFonts w:ascii="Arial" w:eastAsia="Times New Roman" w:hAnsi="Arial" w:cs="Arial"/>
            <w:color w:val="1155CC"/>
            <w:kern w:val="0"/>
            <w:u w:val="single"/>
            <w:lang w:eastAsia="es-UY"/>
            <w14:ligatures w14:val="none"/>
          </w:rPr>
          <w:t>subvenciones</w:t>
        </w:r>
      </w:hyperlink>
      <w:r w:rsidRPr="00A62097">
        <w:rPr>
          <w:rFonts w:ascii="Arial" w:eastAsia="Times New Roman" w:hAnsi="Arial" w:cs="Arial"/>
          <w:color w:val="000000"/>
          <w:kern w:val="0"/>
          <w:lang w:eastAsia="es-UY"/>
          <w14:ligatures w14:val="none"/>
        </w:rPr>
        <w:t xml:space="preserve"> coyunturales: es </w:t>
      </w:r>
      <w:r w:rsidRPr="00A62097">
        <w:rPr>
          <w:rFonts w:ascii="Arial" w:eastAsia="Times New Roman" w:hAnsi="Arial" w:cs="Arial"/>
          <w:b/>
          <w:bCs/>
          <w:color w:val="000000"/>
          <w:kern w:val="0"/>
          <w:lang w:eastAsia="es-UY"/>
          <w14:ligatures w14:val="none"/>
        </w:rPr>
        <w:t>un modelo de largo plazo para hacer viable la solar</w:t>
      </w:r>
      <w:r w:rsidRPr="00A62097">
        <w:rPr>
          <w:rFonts w:ascii="Arial" w:eastAsia="Times New Roman" w:hAnsi="Arial" w:cs="Arial"/>
          <w:color w:val="000000"/>
          <w:kern w:val="0"/>
          <w:lang w:eastAsia="es-UY"/>
          <w14:ligatures w14:val="none"/>
        </w:rPr>
        <w:t xml:space="preserve"> sin respaldo continuo de fósiles.</w:t>
      </w:r>
    </w:p>
    <w:p w14:paraId="2A5D9DA0"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El Gobierno prevé elevar la capacidad de transmisión interregional de </w:t>
      </w:r>
      <w:r w:rsidRPr="00A62097">
        <w:rPr>
          <w:rFonts w:ascii="Arial" w:eastAsia="Times New Roman" w:hAnsi="Arial" w:cs="Arial"/>
          <w:b/>
          <w:bCs/>
          <w:color w:val="000000"/>
          <w:kern w:val="0"/>
          <w:lang w:eastAsia="es-UY"/>
          <w14:ligatures w14:val="none"/>
        </w:rPr>
        <w:t>120 GW a 168 GW antes de 2032</w:t>
      </w:r>
      <w:r w:rsidRPr="00A62097">
        <w:rPr>
          <w:rFonts w:ascii="Arial" w:eastAsia="Times New Roman" w:hAnsi="Arial" w:cs="Arial"/>
          <w:color w:val="000000"/>
          <w:kern w:val="0"/>
          <w:lang w:eastAsia="es-UY"/>
          <w14:ligatures w14:val="none"/>
        </w:rPr>
        <w:t xml:space="preserve">, con una meta de 500 GW no fósiles en 2030. Sin esa red, los gigavatios generados en </w:t>
      </w:r>
      <w:proofErr w:type="spellStart"/>
      <w:r w:rsidRPr="00A62097">
        <w:rPr>
          <w:rFonts w:ascii="Arial" w:eastAsia="Times New Roman" w:hAnsi="Arial" w:cs="Arial"/>
          <w:color w:val="000000"/>
          <w:kern w:val="0"/>
          <w:lang w:eastAsia="es-UY"/>
          <w14:ligatures w14:val="none"/>
        </w:rPr>
        <w:t>Khavda</w:t>
      </w:r>
      <w:proofErr w:type="spellEnd"/>
      <w:r w:rsidRPr="00A62097">
        <w:rPr>
          <w:rFonts w:ascii="Arial" w:eastAsia="Times New Roman" w:hAnsi="Arial" w:cs="Arial"/>
          <w:color w:val="000000"/>
          <w:kern w:val="0"/>
          <w:lang w:eastAsia="es-UY"/>
          <w14:ligatures w14:val="none"/>
        </w:rPr>
        <w:t xml:space="preserve"> no llegan a las ciudades cuando se los necesita. El sol sobre el Rann de Kutch es un recurso; </w:t>
      </w:r>
      <w:r w:rsidRPr="00A62097">
        <w:rPr>
          <w:rFonts w:ascii="Arial" w:eastAsia="Times New Roman" w:hAnsi="Arial" w:cs="Arial"/>
          <w:b/>
          <w:bCs/>
          <w:color w:val="000000"/>
          <w:kern w:val="0"/>
          <w:lang w:eastAsia="es-UY"/>
          <w14:ligatures w14:val="none"/>
        </w:rPr>
        <w:t>la línea que lo transporta es la condición que lo convierte en electricidad real</w:t>
      </w:r>
      <w:r w:rsidRPr="00A62097">
        <w:rPr>
          <w:rFonts w:ascii="Arial" w:eastAsia="Times New Roman" w:hAnsi="Arial" w:cs="Arial"/>
          <w:color w:val="000000"/>
          <w:kern w:val="0"/>
          <w:lang w:eastAsia="es-UY"/>
          <w14:ligatures w14:val="none"/>
        </w:rPr>
        <w:t>.</w:t>
      </w:r>
    </w:p>
    <w:p w14:paraId="6474B999" w14:textId="77777777" w:rsidR="00A62097" w:rsidRPr="00A62097" w:rsidRDefault="00A62097" w:rsidP="00A62097">
      <w:pPr>
        <w:shd w:val="clear" w:color="auto" w:fill="FFFFFF"/>
        <w:spacing w:before="240" w:after="240" w:line="240" w:lineRule="auto"/>
        <w:rPr>
          <w:rFonts w:ascii="Arial" w:eastAsia="Times New Roman" w:hAnsi="Arial" w:cs="Arial"/>
          <w:color w:val="222222"/>
          <w:kern w:val="0"/>
          <w:sz w:val="24"/>
          <w:szCs w:val="24"/>
          <w:lang w:eastAsia="es-UY"/>
          <w14:ligatures w14:val="none"/>
        </w:rPr>
      </w:pPr>
      <w:r w:rsidRPr="00A62097">
        <w:rPr>
          <w:rFonts w:ascii="Arial" w:eastAsia="Times New Roman" w:hAnsi="Arial" w:cs="Arial"/>
          <w:color w:val="000000"/>
          <w:kern w:val="0"/>
          <w:lang w:eastAsia="es-UY"/>
          <w14:ligatures w14:val="none"/>
        </w:rPr>
        <w:t xml:space="preserve">Fuente: </w:t>
      </w:r>
      <w:hyperlink r:id="rId10" w:tgtFrame="_blank" w:history="1">
        <w:r w:rsidRPr="00A62097">
          <w:rPr>
            <w:rFonts w:ascii="Arial" w:eastAsia="Times New Roman" w:hAnsi="Arial" w:cs="Arial"/>
            <w:color w:val="1155CC"/>
            <w:kern w:val="0"/>
            <w:u w:val="single"/>
            <w:lang w:eastAsia="es-UY"/>
            <w14:ligatures w14:val="none"/>
          </w:rPr>
          <w:t>papernest.es</w:t>
        </w:r>
      </w:hyperlink>
    </w:p>
    <w:p w14:paraId="017850FC"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E6E11"/>
    <w:multiLevelType w:val="multilevel"/>
    <w:tmpl w:val="69C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13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97"/>
    <w:rsid w:val="004F532E"/>
    <w:rsid w:val="00926044"/>
    <w:rsid w:val="00A6209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D5658"/>
  <w15:chartTrackingRefBased/>
  <w15:docId w15:val="{B6716897-3F1C-4948-9077-536B1D5E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2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2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20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20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20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20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20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20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209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209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209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209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209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209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209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209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209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2097"/>
    <w:rPr>
      <w:rFonts w:eastAsiaTheme="majorEastAsia" w:cstheme="majorBidi"/>
      <w:color w:val="272727" w:themeColor="text1" w:themeTint="D8"/>
    </w:rPr>
  </w:style>
  <w:style w:type="paragraph" w:styleId="Ttulo">
    <w:name w:val="Title"/>
    <w:basedOn w:val="Normal"/>
    <w:next w:val="Normal"/>
    <w:link w:val="TtuloCar"/>
    <w:uiPriority w:val="10"/>
    <w:qFormat/>
    <w:rsid w:val="00A62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20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209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20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2097"/>
    <w:pPr>
      <w:spacing w:before="160"/>
      <w:jc w:val="center"/>
    </w:pPr>
    <w:rPr>
      <w:i/>
      <w:iCs/>
      <w:color w:val="404040" w:themeColor="text1" w:themeTint="BF"/>
    </w:rPr>
  </w:style>
  <w:style w:type="character" w:customStyle="1" w:styleId="CitaCar">
    <w:name w:val="Cita Car"/>
    <w:basedOn w:val="Fuentedeprrafopredeter"/>
    <w:link w:val="Cita"/>
    <w:uiPriority w:val="29"/>
    <w:rsid w:val="00A62097"/>
    <w:rPr>
      <w:i/>
      <w:iCs/>
      <w:color w:val="404040" w:themeColor="text1" w:themeTint="BF"/>
    </w:rPr>
  </w:style>
  <w:style w:type="paragraph" w:styleId="Prrafodelista">
    <w:name w:val="List Paragraph"/>
    <w:basedOn w:val="Normal"/>
    <w:uiPriority w:val="34"/>
    <w:qFormat/>
    <w:rsid w:val="00A62097"/>
    <w:pPr>
      <w:ind w:left="720"/>
      <w:contextualSpacing/>
    </w:pPr>
  </w:style>
  <w:style w:type="character" w:styleId="nfasisintenso">
    <w:name w:val="Intense Emphasis"/>
    <w:basedOn w:val="Fuentedeprrafopredeter"/>
    <w:uiPriority w:val="21"/>
    <w:qFormat/>
    <w:rsid w:val="00A62097"/>
    <w:rPr>
      <w:i/>
      <w:iCs/>
      <w:color w:val="0F4761" w:themeColor="accent1" w:themeShade="BF"/>
    </w:rPr>
  </w:style>
  <w:style w:type="paragraph" w:styleId="Citadestacada">
    <w:name w:val="Intense Quote"/>
    <w:basedOn w:val="Normal"/>
    <w:next w:val="Normal"/>
    <w:link w:val="CitadestacadaCar"/>
    <w:uiPriority w:val="30"/>
    <w:qFormat/>
    <w:rsid w:val="00A62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2097"/>
    <w:rPr>
      <w:i/>
      <w:iCs/>
      <w:color w:val="0F4761" w:themeColor="accent1" w:themeShade="BF"/>
    </w:rPr>
  </w:style>
  <w:style w:type="character" w:styleId="Referenciaintensa">
    <w:name w:val="Intense Reference"/>
    <w:basedOn w:val="Fuentedeprrafopredeter"/>
    <w:uiPriority w:val="32"/>
    <w:qFormat/>
    <w:rsid w:val="00A62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ernest.es/info/placas-solares/instalacion/" TargetMode="External"/><Relationship Id="rId3" Type="http://schemas.openxmlformats.org/officeDocument/2006/relationships/settings" Target="settings.xml"/><Relationship Id="rId7" Type="http://schemas.openxmlformats.org/officeDocument/2006/relationships/hyperlink" Target="https://www.papernest.es/info/renovab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pernest.es/info/renovables/energia-solar/" TargetMode="External"/><Relationship Id="rId11" Type="http://schemas.openxmlformats.org/officeDocument/2006/relationships/fontTable" Target="fontTable.xml"/><Relationship Id="rId5" Type="http://schemas.openxmlformats.org/officeDocument/2006/relationships/hyperlink" Target="https://www.papernest.es/info/renovables/analisis-paneles-solares/" TargetMode="External"/><Relationship Id="rId10" Type="http://schemas.openxmlformats.org/officeDocument/2006/relationships/hyperlink" Target="http://papernest.es/" TargetMode="External"/><Relationship Id="rId4" Type="http://schemas.openxmlformats.org/officeDocument/2006/relationships/webSettings" Target="webSettings.xml"/><Relationship Id="rId9" Type="http://schemas.openxmlformats.org/officeDocument/2006/relationships/hyperlink" Target="https://www.papernest.es/info/placas-solares/subven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3204</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2026-06-25T14:44:00Z</dcterms:created>
  <dcterms:modified xsi:type="dcterms:W3CDTF">2026-06-25T14:44:00Z</dcterms:modified>
</cp:coreProperties>
</file>