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30FF6" w14:textId="0A3EEC89" w:rsidR="008930E8" w:rsidRPr="001D28B0" w:rsidRDefault="008930E8" w:rsidP="008F6375">
      <w:pPr>
        <w:spacing w:after="0" w:line="360" w:lineRule="auto"/>
        <w:jc w:val="both"/>
        <w:textAlignment w:val="bottom"/>
        <w:rPr>
          <w:rFonts w:ascii="Candara" w:eastAsia="Times New Roman" w:hAnsi="Candara" w:cs="Arial"/>
          <w:b/>
          <w:bCs/>
          <w:color w:val="222222"/>
          <w:kern w:val="0"/>
          <w:sz w:val="28"/>
          <w:szCs w:val="28"/>
          <w:lang w:eastAsia="es-CL"/>
          <w14:ligatures w14:val="none"/>
        </w:rPr>
      </w:pPr>
      <w:r w:rsidRPr="001D28B0">
        <w:rPr>
          <w:rFonts w:ascii="Candara" w:eastAsia="Times New Roman" w:hAnsi="Candara" w:cs="Arial"/>
          <w:b/>
          <w:bCs/>
          <w:color w:val="222222"/>
          <w:kern w:val="0"/>
          <w:sz w:val="28"/>
          <w:szCs w:val="28"/>
          <w:lang w:eastAsia="es-CL"/>
          <w14:ligatures w14:val="none"/>
        </w:rPr>
        <w:t xml:space="preserve">La Ciudadanía de </w:t>
      </w:r>
      <w:r w:rsidR="00D256E8" w:rsidRPr="001D28B0">
        <w:rPr>
          <w:rFonts w:ascii="Candara" w:eastAsia="Times New Roman" w:hAnsi="Candara" w:cs="Arial"/>
          <w:b/>
          <w:bCs/>
          <w:color w:val="222222"/>
          <w:kern w:val="0"/>
          <w:sz w:val="28"/>
          <w:szCs w:val="28"/>
          <w:lang w:eastAsia="es-CL"/>
          <w14:ligatures w14:val="none"/>
        </w:rPr>
        <w:t>rexistencia</w:t>
      </w:r>
      <w:r w:rsidR="00FD6688" w:rsidRPr="001D28B0">
        <w:rPr>
          <w:rFonts w:ascii="Candara" w:eastAsia="Times New Roman" w:hAnsi="Candara" w:cs="Arial"/>
          <w:b/>
          <w:bCs/>
          <w:color w:val="222222"/>
          <w:kern w:val="0"/>
          <w:sz w:val="28"/>
          <w:szCs w:val="28"/>
          <w:lang w:eastAsia="es-CL"/>
          <w14:ligatures w14:val="none"/>
        </w:rPr>
        <w:t>:</w:t>
      </w:r>
      <w:r w:rsidRPr="001D28B0">
        <w:rPr>
          <w:rFonts w:ascii="Candara" w:eastAsia="Times New Roman" w:hAnsi="Candara" w:cs="Arial"/>
          <w:b/>
          <w:bCs/>
          <w:color w:val="222222"/>
          <w:kern w:val="0"/>
          <w:sz w:val="28"/>
          <w:szCs w:val="28"/>
          <w:lang w:eastAsia="es-CL"/>
          <w14:ligatures w14:val="none"/>
        </w:rPr>
        <w:t xml:space="preserve"> </w:t>
      </w:r>
      <w:r w:rsidR="00D256E8" w:rsidRPr="001D28B0">
        <w:rPr>
          <w:rFonts w:ascii="Candara" w:eastAsia="Times New Roman" w:hAnsi="Candara" w:cs="Arial"/>
          <w:b/>
          <w:bCs/>
          <w:color w:val="222222"/>
          <w:kern w:val="0"/>
          <w:sz w:val="28"/>
          <w:szCs w:val="28"/>
          <w:lang w:eastAsia="es-CL"/>
          <w14:ligatures w14:val="none"/>
        </w:rPr>
        <w:t>h</w:t>
      </w:r>
      <w:r w:rsidRPr="001D28B0">
        <w:rPr>
          <w:rFonts w:ascii="Candara" w:eastAsia="Times New Roman" w:hAnsi="Candara" w:cs="Arial"/>
          <w:b/>
          <w:bCs/>
          <w:color w:val="222222"/>
          <w:kern w:val="0"/>
          <w:sz w:val="28"/>
          <w:szCs w:val="28"/>
          <w:lang w:eastAsia="es-CL"/>
          <w14:ligatures w14:val="none"/>
        </w:rPr>
        <w:t xml:space="preserve">umanismo </w:t>
      </w:r>
      <w:r w:rsidR="00D256E8" w:rsidRPr="001D28B0">
        <w:rPr>
          <w:rFonts w:ascii="Candara" w:eastAsia="Times New Roman" w:hAnsi="Candara" w:cs="Arial"/>
          <w:b/>
          <w:bCs/>
          <w:color w:val="222222"/>
          <w:kern w:val="0"/>
          <w:sz w:val="28"/>
          <w:szCs w:val="28"/>
          <w:lang w:eastAsia="es-CL"/>
          <w14:ligatures w14:val="none"/>
        </w:rPr>
        <w:t>c</w:t>
      </w:r>
      <w:r w:rsidRPr="001D28B0">
        <w:rPr>
          <w:rFonts w:ascii="Candara" w:eastAsia="Times New Roman" w:hAnsi="Candara" w:cs="Arial"/>
          <w:b/>
          <w:bCs/>
          <w:color w:val="222222"/>
          <w:kern w:val="0"/>
          <w:sz w:val="28"/>
          <w:szCs w:val="28"/>
          <w:lang w:eastAsia="es-CL"/>
          <w14:ligatures w14:val="none"/>
        </w:rPr>
        <w:t xml:space="preserve">omunitario frente al </w:t>
      </w:r>
      <w:r w:rsidR="00D256E8" w:rsidRPr="001D28B0">
        <w:rPr>
          <w:rFonts w:ascii="Candara" w:eastAsia="Times New Roman" w:hAnsi="Candara" w:cs="Arial"/>
          <w:b/>
          <w:bCs/>
          <w:color w:val="222222"/>
          <w:kern w:val="0"/>
          <w:sz w:val="28"/>
          <w:szCs w:val="28"/>
          <w:lang w:eastAsia="es-CL"/>
          <w14:ligatures w14:val="none"/>
        </w:rPr>
        <w:t>e</w:t>
      </w:r>
      <w:r w:rsidRPr="001D28B0">
        <w:rPr>
          <w:rFonts w:ascii="Candara" w:eastAsia="Times New Roman" w:hAnsi="Candara" w:cs="Arial"/>
          <w:b/>
          <w:bCs/>
          <w:color w:val="222222"/>
          <w:kern w:val="0"/>
          <w:sz w:val="28"/>
          <w:szCs w:val="28"/>
          <w:lang w:eastAsia="es-CL"/>
          <w14:ligatures w14:val="none"/>
        </w:rPr>
        <w:t xml:space="preserve">xtractivismo  y la </w:t>
      </w:r>
      <w:r w:rsidR="00D256E8" w:rsidRPr="001D28B0">
        <w:rPr>
          <w:rFonts w:ascii="Candara" w:eastAsia="Times New Roman" w:hAnsi="Candara" w:cs="Arial"/>
          <w:b/>
          <w:bCs/>
          <w:color w:val="222222"/>
          <w:kern w:val="0"/>
          <w:sz w:val="28"/>
          <w:szCs w:val="28"/>
          <w:lang w:eastAsia="es-CL"/>
          <w14:ligatures w14:val="none"/>
        </w:rPr>
        <w:t>a</w:t>
      </w:r>
      <w:r w:rsidRPr="001D28B0">
        <w:rPr>
          <w:rFonts w:ascii="Candara" w:eastAsia="Times New Roman" w:hAnsi="Candara" w:cs="Arial"/>
          <w:b/>
          <w:bCs/>
          <w:color w:val="222222"/>
          <w:kern w:val="0"/>
          <w:sz w:val="28"/>
          <w:szCs w:val="28"/>
          <w:lang w:eastAsia="es-CL"/>
          <w14:ligatures w14:val="none"/>
        </w:rPr>
        <w:t>porofobia</w:t>
      </w:r>
      <w:r w:rsidR="00653ED9" w:rsidRPr="001D28B0">
        <w:rPr>
          <w:rFonts w:ascii="Candara" w:eastAsia="Times New Roman" w:hAnsi="Candara" w:cs="Arial"/>
          <w:b/>
          <w:bCs/>
          <w:color w:val="222222"/>
          <w:kern w:val="0"/>
          <w:sz w:val="28"/>
          <w:szCs w:val="28"/>
          <w:lang w:eastAsia="es-CL"/>
          <w14:ligatures w14:val="none"/>
        </w:rPr>
        <w:t>. Notas para escuchar y actuar desde las comunidades</w:t>
      </w:r>
    </w:p>
    <w:p w14:paraId="1EBF5E20"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182BE546" w14:textId="1CE8B3BF" w:rsidR="008930E8" w:rsidRPr="008F6375" w:rsidRDefault="008930E8" w:rsidP="008F6375">
      <w:pPr>
        <w:spacing w:after="0" w:line="360" w:lineRule="auto"/>
        <w:jc w:val="both"/>
        <w:textAlignment w:val="bottom"/>
        <w:rPr>
          <w:rFonts w:ascii="Candara" w:eastAsia="Times New Roman" w:hAnsi="Candara" w:cs="Arial"/>
          <w:b/>
          <w:bCs/>
          <w:color w:val="222222"/>
          <w:kern w:val="0"/>
          <w:lang w:eastAsia="es-CL"/>
          <w14:ligatures w14:val="none"/>
        </w:rPr>
      </w:pPr>
      <w:r w:rsidRPr="008F6375">
        <w:rPr>
          <w:rFonts w:ascii="Candara" w:eastAsia="Times New Roman" w:hAnsi="Candara" w:cs="Arial"/>
          <w:b/>
          <w:bCs/>
          <w:color w:val="222222"/>
          <w:kern w:val="0"/>
          <w:lang w:eastAsia="es-CL"/>
          <w14:ligatures w14:val="none"/>
        </w:rPr>
        <w:t>Jorge Osorio Vargas</w:t>
      </w:r>
      <w:r w:rsidR="008F6375">
        <w:rPr>
          <w:rFonts w:ascii="Candara" w:eastAsia="Times New Roman" w:hAnsi="Candara" w:cs="Arial"/>
          <w:b/>
          <w:bCs/>
          <w:color w:val="222222"/>
          <w:kern w:val="0"/>
          <w:lang w:eastAsia="es-CL"/>
          <w14:ligatures w14:val="none"/>
        </w:rPr>
        <w:t xml:space="preserve"> </w:t>
      </w:r>
      <w:r w:rsidR="008F6375">
        <w:rPr>
          <w:rStyle w:val="Refdenotaalpie"/>
          <w:rFonts w:ascii="Candara" w:eastAsia="Times New Roman" w:hAnsi="Candara" w:cs="Arial"/>
          <w:b/>
          <w:bCs/>
          <w:color w:val="222222"/>
          <w:kern w:val="0"/>
          <w:lang w:eastAsia="es-CL"/>
          <w14:ligatures w14:val="none"/>
        </w:rPr>
        <w:footnoteReference w:id="1"/>
      </w:r>
    </w:p>
    <w:p w14:paraId="3C080FAF"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1C4E72B6" w14:textId="77777777" w:rsidR="008930E8" w:rsidRPr="008F6375" w:rsidRDefault="008930E8" w:rsidP="008F6375">
      <w:pPr>
        <w:spacing w:after="0" w:line="360" w:lineRule="auto"/>
        <w:jc w:val="both"/>
        <w:textAlignment w:val="bottom"/>
        <w:rPr>
          <w:rFonts w:ascii="Candara" w:eastAsia="Times New Roman" w:hAnsi="Candara" w:cs="Arial"/>
          <w:b/>
          <w:bCs/>
          <w:color w:val="222222"/>
          <w:kern w:val="0"/>
          <w:lang w:eastAsia="es-CL"/>
          <w14:ligatures w14:val="none"/>
        </w:rPr>
      </w:pPr>
      <w:r w:rsidRPr="008F6375">
        <w:rPr>
          <w:rFonts w:ascii="Candara" w:eastAsia="Times New Roman" w:hAnsi="Candara" w:cs="Arial"/>
          <w:b/>
          <w:bCs/>
          <w:color w:val="222222"/>
          <w:kern w:val="0"/>
          <w:lang w:eastAsia="es-CL"/>
          <w14:ligatures w14:val="none"/>
        </w:rPr>
        <w:t>Introducción</w:t>
      </w:r>
    </w:p>
    <w:p w14:paraId="08936432"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19778EDC" w14:textId="5125C850"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En las periferias  materiales, sociales y existenciales del capitalismo contemporáneo, donde el extractivismo devora territorios y los epistemicidios aniquilan saberes, habitan sujetos doblemente desposeídos: expulsados del centro por su condición económica y despojados de reconocimiento por sistemas de dominio que los consideran desechables. Sin embargo, en esa misma condición de marginalidad radical emerge una posibilidad política insoslayable: la constitución de una ciudadanía de resistencia y rexistencia —entendiendo este neologismo como la persistencia en la existencia digna que ningún sistema de dominio puede extraer— anclada en un humanismo comunitario  que reconoce la dignidad humana como fundamento inalienable.</w:t>
      </w:r>
    </w:p>
    <w:p w14:paraId="1AB04658"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21C180BF" w14:textId="6EA5D95C"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Este ensayo sostiene que las personas y comunidades  empobrecidas de las periferias, víctimas del capitalismo extractivista y la aporofobia sistémica, pueden constituirse como sujetos políticos activos precisamente desde aquello que el sistema pretende negarles: su humanidad plena y su capacidad de agencia. </w:t>
      </w:r>
    </w:p>
    <w:p w14:paraId="225C5D54" w14:textId="77777777" w:rsidR="00FD6688" w:rsidRPr="008F6375" w:rsidRDefault="00FD6688" w:rsidP="008F6375">
      <w:pPr>
        <w:spacing w:after="0" w:line="360" w:lineRule="auto"/>
        <w:jc w:val="both"/>
        <w:textAlignment w:val="bottom"/>
        <w:rPr>
          <w:rFonts w:ascii="Candara" w:eastAsia="Times New Roman" w:hAnsi="Candara" w:cs="Arial"/>
          <w:b/>
          <w:bCs/>
          <w:color w:val="222222"/>
          <w:kern w:val="0"/>
          <w:lang w:eastAsia="es-CL"/>
          <w14:ligatures w14:val="none"/>
        </w:rPr>
      </w:pPr>
    </w:p>
    <w:p w14:paraId="1774E00D" w14:textId="6B908572" w:rsidR="008930E8" w:rsidRPr="008F6375" w:rsidRDefault="008930E8" w:rsidP="008F6375">
      <w:pPr>
        <w:spacing w:after="0" w:line="360" w:lineRule="auto"/>
        <w:jc w:val="both"/>
        <w:textAlignment w:val="bottom"/>
        <w:rPr>
          <w:rFonts w:ascii="Candara" w:eastAsia="Times New Roman" w:hAnsi="Candara" w:cs="Arial"/>
          <w:b/>
          <w:bCs/>
          <w:color w:val="222222"/>
          <w:kern w:val="0"/>
          <w:lang w:eastAsia="es-CL"/>
          <w14:ligatures w14:val="none"/>
        </w:rPr>
      </w:pPr>
      <w:r w:rsidRPr="008F6375">
        <w:rPr>
          <w:rFonts w:ascii="Candara" w:eastAsia="Times New Roman" w:hAnsi="Candara" w:cs="Arial"/>
          <w:b/>
          <w:bCs/>
          <w:color w:val="222222"/>
          <w:kern w:val="0"/>
          <w:lang w:eastAsia="es-CL"/>
          <w14:ligatures w14:val="none"/>
        </w:rPr>
        <w:t>El Capitalismo Extractivista y sus Costos Humanos</w:t>
      </w:r>
    </w:p>
    <w:p w14:paraId="79C42331"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74871226"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El extractivismo en América Latina se ha intensificado en los últimos veinticinco años, configurando un patrón de apropiación de recursos naturales en altos volúmenes para su exportación, con consecuencias devastadoras para las poblaciones locales. Este modelo no solo produce impactos ambientales, sino que genera lo que puede denominarse "extractivismo social": la extracción de la dignidad, el territorio y la memoria de comunidades enteras que son desplazadas o violentadas en nombre del progreso.</w:t>
      </w:r>
    </w:p>
    <w:p w14:paraId="7CD025AD"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58425103" w14:textId="75540991"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El concepto de aporofobia —el rechazo y odio hacia los pobres— se revela aquí como el correlato ideológico del extractivismo. No se trata de un prejuicio incidental, sino de un mecanismo estructural que legitima la expulsión de ciertos cuerpos del espacio de lo humano</w:t>
      </w:r>
      <w:r w:rsidR="00FD6688" w:rsidRPr="008F6375">
        <w:rPr>
          <w:rFonts w:ascii="Candara" w:eastAsia="Times New Roman" w:hAnsi="Candara" w:cs="Arial"/>
          <w:color w:val="222222"/>
          <w:kern w:val="0"/>
          <w:lang w:eastAsia="es-CL"/>
          <w14:ligatures w14:val="none"/>
        </w:rPr>
        <w:t xml:space="preserve"> </w:t>
      </w:r>
      <w:r w:rsidR="00D256E8" w:rsidRPr="008F6375">
        <w:rPr>
          <w:rFonts w:ascii="Candara" w:eastAsia="Times New Roman" w:hAnsi="Candara" w:cs="Arial"/>
          <w:color w:val="222222"/>
          <w:kern w:val="0"/>
          <w:lang w:eastAsia="es-CL"/>
          <w14:ligatures w14:val="none"/>
        </w:rPr>
        <w:t>(Cortina</w:t>
      </w:r>
      <w:r w:rsidR="00FD6688" w:rsidRPr="008F6375">
        <w:rPr>
          <w:rFonts w:ascii="Candara" w:eastAsia="Times New Roman" w:hAnsi="Candara" w:cs="Arial"/>
          <w:color w:val="222222"/>
          <w:kern w:val="0"/>
          <w:lang w:eastAsia="es-CL"/>
          <w14:ligatures w14:val="none"/>
        </w:rPr>
        <w:t>, 2000). Quienes</w:t>
      </w:r>
      <w:r w:rsidRPr="008F6375">
        <w:rPr>
          <w:rFonts w:ascii="Candara" w:eastAsia="Times New Roman" w:hAnsi="Candara" w:cs="Arial"/>
          <w:color w:val="222222"/>
          <w:kern w:val="0"/>
          <w:lang w:eastAsia="es-CL"/>
          <w14:ligatures w14:val="none"/>
        </w:rPr>
        <w:t xml:space="preserve"> habitan las periferias no son solo pobres en términos económicos; son descartables en términos ontológicos: su existencia no cuenta, sus saberes no valen, sus muertes no importan.</w:t>
      </w:r>
    </w:p>
    <w:p w14:paraId="032AC0FA"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1A39E4FB" w14:textId="1CE10388"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Este mecanismo se complementa con los epistemicidios: la destrucción sistemática de conocimientos no hegemónicos. Como plantean las Epistemologías del Sur, la injusticia social no puede separarse de la injusticia cognitiva; la subalternización epistémica es condición y consecuencia de la subalternización política. Las poblaciones periféricas no solo son explotadas, sino despojadas de la capacidad de nombrar su propia experiencia, de producir saber sobre su propia condición</w:t>
      </w:r>
      <w:r w:rsidR="00FD6688" w:rsidRPr="008F6375">
        <w:rPr>
          <w:rFonts w:ascii="Candara" w:eastAsia="Times New Roman" w:hAnsi="Candara" w:cs="Arial"/>
          <w:color w:val="222222"/>
          <w:kern w:val="0"/>
          <w:lang w:eastAsia="es-CL"/>
          <w14:ligatures w14:val="none"/>
        </w:rPr>
        <w:t xml:space="preserve"> </w:t>
      </w:r>
      <w:r w:rsidR="00653ED9" w:rsidRPr="008F6375">
        <w:rPr>
          <w:rFonts w:ascii="Candara" w:eastAsia="Times New Roman" w:hAnsi="Candara" w:cs="Arial"/>
          <w:color w:val="222222"/>
          <w:kern w:val="0"/>
          <w:lang w:eastAsia="es-CL"/>
          <w14:ligatures w14:val="none"/>
        </w:rPr>
        <w:t>(dos</w:t>
      </w:r>
      <w:r w:rsidR="00FD6688" w:rsidRPr="008F6375">
        <w:rPr>
          <w:rFonts w:ascii="Candara" w:eastAsia="Times New Roman" w:hAnsi="Candara" w:cs="Arial"/>
          <w:color w:val="222222"/>
          <w:kern w:val="0"/>
          <w:lang w:eastAsia="es-CL"/>
          <w14:ligatures w14:val="none"/>
        </w:rPr>
        <w:t xml:space="preserve"> Santos Souza, </w:t>
      </w:r>
      <w:r w:rsidR="00D256E8" w:rsidRPr="008F6375">
        <w:rPr>
          <w:rFonts w:ascii="Candara" w:eastAsia="Times New Roman" w:hAnsi="Candara" w:cs="Arial"/>
          <w:color w:val="222222"/>
          <w:kern w:val="0"/>
          <w:lang w:eastAsia="es-CL"/>
          <w14:ligatures w14:val="none"/>
        </w:rPr>
        <w:t>20</w:t>
      </w:r>
      <w:r w:rsidR="008F6375" w:rsidRPr="008F6375">
        <w:rPr>
          <w:rFonts w:ascii="Candara" w:eastAsia="Times New Roman" w:hAnsi="Candara" w:cs="Arial"/>
          <w:color w:val="222222"/>
          <w:kern w:val="0"/>
          <w:lang w:eastAsia="es-CL"/>
          <w14:ligatures w14:val="none"/>
        </w:rPr>
        <w:t>2</w:t>
      </w:r>
      <w:r w:rsidR="00D256E8" w:rsidRPr="008F6375">
        <w:rPr>
          <w:rFonts w:ascii="Candara" w:eastAsia="Times New Roman" w:hAnsi="Candara" w:cs="Arial"/>
          <w:color w:val="222222"/>
          <w:kern w:val="0"/>
          <w:lang w:eastAsia="es-CL"/>
          <w14:ligatures w14:val="none"/>
        </w:rPr>
        <w:t>1)</w:t>
      </w:r>
      <w:r w:rsidR="00FD6688" w:rsidRPr="008F6375">
        <w:rPr>
          <w:rFonts w:ascii="Candara" w:eastAsia="Times New Roman" w:hAnsi="Candara" w:cs="Arial"/>
          <w:color w:val="222222"/>
          <w:kern w:val="0"/>
          <w:lang w:eastAsia="es-CL"/>
          <w14:ligatures w14:val="none"/>
        </w:rPr>
        <w:t xml:space="preserve">.   </w:t>
      </w:r>
    </w:p>
    <w:p w14:paraId="3A122077"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6474574F" w14:textId="387946CD" w:rsidR="008930E8" w:rsidRPr="008F6375" w:rsidRDefault="008930E8" w:rsidP="008F6375">
      <w:pPr>
        <w:spacing w:after="0" w:line="360" w:lineRule="auto"/>
        <w:jc w:val="both"/>
        <w:textAlignment w:val="bottom"/>
        <w:rPr>
          <w:rFonts w:ascii="Candara" w:eastAsia="Times New Roman" w:hAnsi="Candara" w:cs="Arial"/>
          <w:b/>
          <w:bCs/>
          <w:color w:val="222222"/>
          <w:kern w:val="0"/>
          <w:lang w:eastAsia="es-CL"/>
          <w14:ligatures w14:val="none"/>
        </w:rPr>
      </w:pPr>
      <w:r w:rsidRPr="008F6375">
        <w:rPr>
          <w:rFonts w:ascii="Candara" w:eastAsia="Times New Roman" w:hAnsi="Candara" w:cs="Arial"/>
          <w:b/>
          <w:bCs/>
          <w:color w:val="222222"/>
          <w:kern w:val="0"/>
          <w:lang w:eastAsia="es-CL"/>
          <w14:ligatures w14:val="none"/>
        </w:rPr>
        <w:t xml:space="preserve">Humanismo Comunitario </w:t>
      </w:r>
    </w:p>
    <w:p w14:paraId="5E4668FC"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4E366BFB" w14:textId="256FEEF8"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Frente a este entramado de dominación, el humanismo comunitario propone una inversión epistemológica y ética. A diferencia del humanismo ilustrado —que prometía liberación, pero operaba como instrumento de disciplinamiento— el humanismo  comunitario se funda en el reconocimiento de que la dignidad humana es innegociable e </w:t>
      </w:r>
      <w:r w:rsidRPr="008F6375">
        <w:rPr>
          <w:rFonts w:ascii="Candara" w:eastAsia="Times New Roman" w:hAnsi="Candara" w:cs="Arial"/>
          <w:color w:val="222222"/>
          <w:kern w:val="0"/>
          <w:lang w:eastAsia="es-CL"/>
          <w14:ligatures w14:val="none"/>
        </w:rPr>
        <w:lastRenderedPageBreak/>
        <w:t>inapropiable. No es una concesión que el sistema pueda otorgar o retirar, sino una condición inherente que los sujetos pueden reclamar y ejercer desde su propia experiencia.</w:t>
      </w:r>
    </w:p>
    <w:p w14:paraId="18D94D42"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6375A4FB" w14:textId="377E79F3"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Este humanismo  comunitario  se distancia de un  universalismo de </w:t>
      </w:r>
      <w:r w:rsidR="00F44D6B" w:rsidRPr="008F6375">
        <w:rPr>
          <w:rFonts w:ascii="Candara" w:eastAsia="Times New Roman" w:hAnsi="Candara" w:cs="Arial"/>
          <w:color w:val="222222"/>
          <w:kern w:val="0"/>
          <w:lang w:eastAsia="es-CL"/>
          <w14:ligatures w14:val="none"/>
        </w:rPr>
        <w:t>pretensión</w:t>
      </w:r>
      <w:r w:rsidRPr="008F6375">
        <w:rPr>
          <w:rFonts w:ascii="Candara" w:eastAsia="Times New Roman" w:hAnsi="Candara" w:cs="Arial"/>
          <w:color w:val="222222"/>
          <w:kern w:val="0"/>
          <w:lang w:eastAsia="es-CL"/>
          <w14:ligatures w14:val="none"/>
        </w:rPr>
        <w:t xml:space="preserve"> colonial que</w:t>
      </w:r>
      <w:r w:rsidR="00F44D6B" w:rsidRPr="008F6375">
        <w:rPr>
          <w:rFonts w:ascii="Candara" w:eastAsia="Times New Roman" w:hAnsi="Candara" w:cs="Arial"/>
          <w:color w:val="222222"/>
          <w:kern w:val="0"/>
          <w:lang w:eastAsia="es-CL"/>
          <w14:ligatures w14:val="none"/>
        </w:rPr>
        <w:t xml:space="preserve"> </w:t>
      </w:r>
      <w:r w:rsidRPr="008F6375">
        <w:rPr>
          <w:rFonts w:ascii="Candara" w:eastAsia="Times New Roman" w:hAnsi="Candara" w:cs="Arial"/>
          <w:color w:val="222222"/>
          <w:kern w:val="0"/>
          <w:lang w:eastAsia="es-CL"/>
          <w14:ligatures w14:val="none"/>
        </w:rPr>
        <w:t xml:space="preserve"> ha justificado la imposición de </w:t>
      </w:r>
      <w:r w:rsidR="00F44D6B" w:rsidRPr="008F6375">
        <w:rPr>
          <w:rFonts w:ascii="Candara" w:eastAsia="Times New Roman" w:hAnsi="Candara" w:cs="Arial"/>
          <w:color w:val="222222"/>
          <w:kern w:val="0"/>
          <w:lang w:eastAsia="es-CL"/>
          <w14:ligatures w14:val="none"/>
        </w:rPr>
        <w:t>normas,</w:t>
      </w:r>
      <w:r w:rsidRPr="008F6375">
        <w:rPr>
          <w:rFonts w:ascii="Candara" w:eastAsia="Times New Roman" w:hAnsi="Candara" w:cs="Arial"/>
          <w:color w:val="222222"/>
          <w:kern w:val="0"/>
          <w:lang w:eastAsia="es-CL"/>
          <w14:ligatures w14:val="none"/>
        </w:rPr>
        <w:t xml:space="preserve"> la descalificación de diferencias</w:t>
      </w:r>
      <w:r w:rsidR="00F44D6B" w:rsidRPr="008F6375">
        <w:rPr>
          <w:rFonts w:ascii="Candara" w:eastAsia="Times New Roman" w:hAnsi="Candara" w:cs="Arial"/>
          <w:color w:val="222222"/>
          <w:kern w:val="0"/>
          <w:lang w:eastAsia="es-CL"/>
          <w14:ligatures w14:val="none"/>
        </w:rPr>
        <w:t xml:space="preserve"> y el bloqueo a proyectos de demo-diversidad. </w:t>
      </w:r>
      <w:r w:rsidRPr="008F6375">
        <w:rPr>
          <w:rFonts w:ascii="Candara" w:eastAsia="Times New Roman" w:hAnsi="Candara" w:cs="Arial"/>
          <w:color w:val="222222"/>
          <w:kern w:val="0"/>
          <w:lang w:eastAsia="es-CL"/>
          <w14:ligatures w14:val="none"/>
        </w:rPr>
        <w:t xml:space="preserve"> Más bien, se inscribe en la tradición crítica que</w:t>
      </w:r>
      <w:r w:rsidR="00F44D6B" w:rsidRPr="008F6375">
        <w:rPr>
          <w:rFonts w:ascii="Candara" w:eastAsia="Times New Roman" w:hAnsi="Candara" w:cs="Arial"/>
          <w:color w:val="222222"/>
          <w:kern w:val="0"/>
          <w:lang w:eastAsia="es-CL"/>
          <w14:ligatures w14:val="none"/>
        </w:rPr>
        <w:t xml:space="preserve"> </w:t>
      </w:r>
      <w:r w:rsidRPr="008F6375">
        <w:rPr>
          <w:rFonts w:ascii="Candara" w:eastAsia="Times New Roman" w:hAnsi="Candara" w:cs="Arial"/>
          <w:color w:val="222222"/>
          <w:kern w:val="0"/>
          <w:lang w:eastAsia="es-CL"/>
          <w14:ligatures w14:val="none"/>
        </w:rPr>
        <w:t xml:space="preserve"> ha cuestionado las </w:t>
      </w:r>
      <w:r w:rsidR="00F44D6B" w:rsidRPr="008F6375">
        <w:rPr>
          <w:rFonts w:ascii="Candara" w:eastAsia="Times New Roman" w:hAnsi="Candara" w:cs="Arial"/>
          <w:color w:val="222222"/>
          <w:kern w:val="0"/>
          <w:lang w:eastAsia="es-CL"/>
          <w14:ligatures w14:val="none"/>
        </w:rPr>
        <w:t xml:space="preserve">dominaciones  y </w:t>
      </w:r>
      <w:r w:rsidRPr="008F6375">
        <w:rPr>
          <w:rFonts w:ascii="Candara" w:eastAsia="Times New Roman" w:hAnsi="Candara" w:cs="Arial"/>
          <w:color w:val="222222"/>
          <w:kern w:val="0"/>
          <w:lang w:eastAsia="es-CL"/>
          <w14:ligatures w14:val="none"/>
        </w:rPr>
        <w:t xml:space="preserve"> reivindicado la desobediencia</w:t>
      </w:r>
      <w:r w:rsidR="00F44D6B" w:rsidRPr="008F6375">
        <w:rPr>
          <w:rFonts w:ascii="Candara" w:eastAsia="Times New Roman" w:hAnsi="Candara" w:cs="Arial"/>
          <w:color w:val="222222"/>
          <w:kern w:val="0"/>
          <w:lang w:eastAsia="es-CL"/>
          <w14:ligatures w14:val="none"/>
        </w:rPr>
        <w:t xml:space="preserve"> y los “levantamientos” como</w:t>
      </w:r>
      <w:r w:rsidRPr="008F6375">
        <w:rPr>
          <w:rFonts w:ascii="Candara" w:eastAsia="Times New Roman" w:hAnsi="Candara" w:cs="Arial"/>
          <w:color w:val="222222"/>
          <w:kern w:val="0"/>
          <w:lang w:eastAsia="es-CL"/>
          <w14:ligatures w14:val="none"/>
        </w:rPr>
        <w:t xml:space="preserve"> ejercicio de </w:t>
      </w:r>
      <w:r w:rsidR="00D256E8" w:rsidRPr="008F6375">
        <w:rPr>
          <w:rFonts w:ascii="Candara" w:eastAsia="Times New Roman" w:hAnsi="Candara" w:cs="Arial"/>
          <w:color w:val="222222"/>
          <w:kern w:val="0"/>
          <w:lang w:eastAsia="es-CL"/>
          <w14:ligatures w14:val="none"/>
        </w:rPr>
        <w:t>libertad (Osorio ,</w:t>
      </w:r>
      <w:r w:rsidR="008F6375" w:rsidRPr="008F6375">
        <w:rPr>
          <w:rFonts w:ascii="Candara" w:eastAsia="Times New Roman" w:hAnsi="Candara" w:cs="Arial"/>
          <w:color w:val="222222"/>
          <w:kern w:val="0"/>
          <w:lang w:eastAsia="es-CL"/>
          <w14:ligatures w14:val="none"/>
        </w:rPr>
        <w:t xml:space="preserve"> 2022 )</w:t>
      </w:r>
      <w:r w:rsidR="00D256E8" w:rsidRPr="008F6375">
        <w:rPr>
          <w:rFonts w:ascii="Candara" w:eastAsia="Times New Roman" w:hAnsi="Candara" w:cs="Arial"/>
          <w:color w:val="222222"/>
          <w:kern w:val="0"/>
          <w:lang w:eastAsia="es-CL"/>
          <w14:ligatures w14:val="none"/>
        </w:rPr>
        <w:t xml:space="preserve"> </w:t>
      </w:r>
      <w:r w:rsidRPr="008F6375">
        <w:rPr>
          <w:rFonts w:ascii="Candara" w:eastAsia="Times New Roman" w:hAnsi="Candara" w:cs="Arial"/>
          <w:color w:val="222222"/>
          <w:kern w:val="0"/>
          <w:lang w:eastAsia="es-CL"/>
          <w14:ligatures w14:val="none"/>
        </w:rPr>
        <w:t xml:space="preserve">No se trata de un humanismo declamatorio, sino práctico: "estar ahí para el otro", como condición </w:t>
      </w:r>
      <w:r w:rsidR="00F44D6B" w:rsidRPr="008F6375">
        <w:rPr>
          <w:rFonts w:ascii="Candara" w:eastAsia="Times New Roman" w:hAnsi="Candara" w:cs="Arial"/>
          <w:color w:val="222222"/>
          <w:kern w:val="0"/>
          <w:lang w:eastAsia="es-CL"/>
          <w14:ligatures w14:val="none"/>
        </w:rPr>
        <w:t>ética, política y pedagógica</w:t>
      </w:r>
    </w:p>
    <w:p w14:paraId="33472061"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4AB1F1FE" w14:textId="4B1473A2"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Tres principios articulan este humanismo </w:t>
      </w:r>
      <w:r w:rsidR="00F44D6B" w:rsidRPr="008F6375">
        <w:rPr>
          <w:rFonts w:ascii="Candara" w:eastAsia="Times New Roman" w:hAnsi="Candara" w:cs="Arial"/>
          <w:color w:val="222222"/>
          <w:kern w:val="0"/>
          <w:lang w:eastAsia="es-CL"/>
          <w14:ligatures w14:val="none"/>
        </w:rPr>
        <w:t>comunitario:</w:t>
      </w:r>
    </w:p>
    <w:p w14:paraId="279D856D"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61146C81"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1. La ausencia de prejuicios como condición de posibilidad del conocimiento: Superar la mirada que clasifica y jerarquiza para acceder a la experiencia del otro desde su propia lógica.</w:t>
      </w:r>
    </w:p>
    <w:p w14:paraId="67937CC2"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2. La escucha como herramienta de poder: No la escucha instrumental que extrae información, sino aquella que reconoce y restituye dignidad.</w:t>
      </w:r>
    </w:p>
    <w:p w14:paraId="20260DE6" w14:textId="11591F6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3. El acompañamiento como forma superior de práctica: Estar con el otro, no solo documentar su dolor o analizar su condición, sino caminar junto a él en su proceso de resistencia y </w:t>
      </w:r>
      <w:r w:rsidR="00D256E8" w:rsidRPr="008F6375">
        <w:rPr>
          <w:rFonts w:ascii="Candara" w:eastAsia="Times New Roman" w:hAnsi="Candara" w:cs="Arial"/>
          <w:color w:val="222222"/>
          <w:kern w:val="0"/>
          <w:lang w:eastAsia="es-CL"/>
          <w14:ligatures w14:val="none"/>
        </w:rPr>
        <w:t>liberación: el</w:t>
      </w:r>
      <w:r w:rsidR="00F44D6B" w:rsidRPr="008F6375">
        <w:rPr>
          <w:rFonts w:ascii="Candara" w:eastAsia="Times New Roman" w:hAnsi="Candara" w:cs="Arial"/>
          <w:color w:val="222222"/>
          <w:kern w:val="0"/>
          <w:lang w:eastAsia="es-CL"/>
          <w14:ligatures w14:val="none"/>
        </w:rPr>
        <w:t xml:space="preserve"> “ser más” de Paulo Freire</w:t>
      </w:r>
      <w:r w:rsidR="00FD6688" w:rsidRPr="008F6375">
        <w:rPr>
          <w:rFonts w:ascii="Candara" w:eastAsia="Times New Roman" w:hAnsi="Candara" w:cs="Arial"/>
          <w:color w:val="222222"/>
          <w:kern w:val="0"/>
          <w:lang w:eastAsia="es-CL"/>
          <w14:ligatures w14:val="none"/>
        </w:rPr>
        <w:t xml:space="preserve"> </w:t>
      </w:r>
      <w:r w:rsidR="00D256E8" w:rsidRPr="008F6375">
        <w:rPr>
          <w:rFonts w:ascii="Candara" w:eastAsia="Times New Roman" w:hAnsi="Candara" w:cs="Arial"/>
          <w:color w:val="222222"/>
          <w:kern w:val="0"/>
          <w:lang w:eastAsia="es-CL"/>
          <w14:ligatures w14:val="none"/>
        </w:rPr>
        <w:t>(Freire</w:t>
      </w:r>
      <w:r w:rsidR="00FD6688" w:rsidRPr="008F6375">
        <w:rPr>
          <w:rFonts w:ascii="Candara" w:eastAsia="Times New Roman" w:hAnsi="Candara" w:cs="Arial"/>
          <w:color w:val="222222"/>
          <w:kern w:val="0"/>
          <w:lang w:eastAsia="es-CL"/>
          <w14:ligatures w14:val="none"/>
        </w:rPr>
        <w:t>, 2015)</w:t>
      </w:r>
    </w:p>
    <w:p w14:paraId="049E71FD" w14:textId="4A2E6EEF"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4D8797A7"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65D1C9F7" w14:textId="6013880A" w:rsidR="008930E8" w:rsidRPr="008F6375" w:rsidRDefault="008930E8" w:rsidP="008F6375">
      <w:pPr>
        <w:spacing w:after="0" w:line="360" w:lineRule="auto"/>
        <w:jc w:val="both"/>
        <w:textAlignment w:val="bottom"/>
        <w:rPr>
          <w:rFonts w:ascii="Candara" w:eastAsia="Times New Roman" w:hAnsi="Candara" w:cs="Arial"/>
          <w:b/>
          <w:bCs/>
          <w:color w:val="222222"/>
          <w:kern w:val="0"/>
          <w:lang w:eastAsia="es-CL"/>
          <w14:ligatures w14:val="none"/>
        </w:rPr>
      </w:pPr>
      <w:r w:rsidRPr="008F6375">
        <w:rPr>
          <w:rFonts w:ascii="Candara" w:eastAsia="Times New Roman" w:hAnsi="Candara" w:cs="Arial"/>
          <w:b/>
          <w:bCs/>
          <w:color w:val="222222"/>
          <w:kern w:val="0"/>
          <w:lang w:eastAsia="es-CL"/>
          <w14:ligatures w14:val="none"/>
        </w:rPr>
        <w:t xml:space="preserve">Ciudadanía de  </w:t>
      </w:r>
      <w:proofErr w:type="spellStart"/>
      <w:r w:rsidR="00653ED9">
        <w:rPr>
          <w:rFonts w:ascii="Candara" w:eastAsia="Times New Roman" w:hAnsi="Candara" w:cs="Arial"/>
          <w:b/>
          <w:bCs/>
          <w:color w:val="222222"/>
          <w:kern w:val="0"/>
          <w:lang w:eastAsia="es-CL"/>
          <w14:ligatures w14:val="none"/>
        </w:rPr>
        <w:t>r</w:t>
      </w:r>
      <w:r w:rsidRPr="008F6375">
        <w:rPr>
          <w:rFonts w:ascii="Candara" w:eastAsia="Times New Roman" w:hAnsi="Candara" w:cs="Arial"/>
          <w:b/>
          <w:bCs/>
          <w:color w:val="222222"/>
          <w:kern w:val="0"/>
          <w:lang w:eastAsia="es-CL"/>
          <w14:ligatures w14:val="none"/>
        </w:rPr>
        <w:t>e</w:t>
      </w:r>
      <w:r w:rsidR="00653ED9">
        <w:rPr>
          <w:rFonts w:ascii="Candara" w:eastAsia="Times New Roman" w:hAnsi="Candara" w:cs="Arial"/>
          <w:b/>
          <w:bCs/>
          <w:color w:val="222222"/>
          <w:kern w:val="0"/>
          <w:lang w:eastAsia="es-CL"/>
          <w14:ligatures w14:val="none"/>
        </w:rPr>
        <w:t>e</w:t>
      </w:r>
      <w:r w:rsidRPr="008F6375">
        <w:rPr>
          <w:rFonts w:ascii="Candara" w:eastAsia="Times New Roman" w:hAnsi="Candara" w:cs="Arial"/>
          <w:b/>
          <w:bCs/>
          <w:color w:val="222222"/>
          <w:kern w:val="0"/>
          <w:lang w:eastAsia="es-CL"/>
          <w14:ligatures w14:val="none"/>
        </w:rPr>
        <w:t>xistencia</w:t>
      </w:r>
      <w:proofErr w:type="spellEnd"/>
    </w:p>
    <w:p w14:paraId="3C3E02F0"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320394D8" w14:textId="1533C29C"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La noción de "ciudadanía de </w:t>
      </w:r>
      <w:r w:rsidR="00D256E8" w:rsidRPr="008F6375">
        <w:rPr>
          <w:rFonts w:ascii="Candara" w:eastAsia="Times New Roman" w:hAnsi="Candara" w:cs="Arial"/>
          <w:color w:val="222222"/>
          <w:kern w:val="0"/>
          <w:lang w:eastAsia="es-CL"/>
          <w14:ligatures w14:val="none"/>
        </w:rPr>
        <w:t>rexistencia</w:t>
      </w:r>
      <w:r w:rsidRPr="008F6375">
        <w:rPr>
          <w:rFonts w:ascii="Candara" w:eastAsia="Times New Roman" w:hAnsi="Candara" w:cs="Arial"/>
          <w:color w:val="222222"/>
          <w:kern w:val="0"/>
          <w:lang w:eastAsia="es-CL"/>
          <w14:ligatures w14:val="none"/>
        </w:rPr>
        <w:t>" alude a un ejercicio político que se constituye en oposición al orden establecido, que reclama derechos desde la negación del reconocimiento. Sin embargo, el concepto de rexistencia añade una dimensión crucial: no se trata solo de resistir al poder, sino de persistir en la existencia que el poder niega.</w:t>
      </w:r>
    </w:p>
    <w:p w14:paraId="4E71EC46"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0382100D" w14:textId="35029465"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Esta ciudadanía se funda en la capacidad de los sujetos subalternos para constituirse como "saberes nacidos en </w:t>
      </w:r>
      <w:r w:rsidR="00F44D6B" w:rsidRPr="008F6375">
        <w:rPr>
          <w:rFonts w:ascii="Candara" w:eastAsia="Times New Roman" w:hAnsi="Candara" w:cs="Arial"/>
          <w:color w:val="222222"/>
          <w:kern w:val="0"/>
          <w:lang w:eastAsia="es-CL"/>
          <w14:ligatures w14:val="none"/>
        </w:rPr>
        <w:t xml:space="preserve"> sus culturales, comunidades y proyectos políticos </w:t>
      </w:r>
      <w:r w:rsidRPr="008F6375">
        <w:rPr>
          <w:rFonts w:ascii="Candara" w:eastAsia="Times New Roman" w:hAnsi="Candara" w:cs="Arial"/>
          <w:color w:val="222222"/>
          <w:kern w:val="0"/>
          <w:lang w:eastAsia="es-CL"/>
          <w14:ligatures w14:val="none"/>
        </w:rPr>
        <w:t>". No es una ciudadanía otorgada desde arriba, sino construida desde abajo, en los territorios periféricos</w:t>
      </w:r>
      <w:r w:rsidR="00F44D6B" w:rsidRPr="008F6375">
        <w:rPr>
          <w:rFonts w:ascii="Candara" w:eastAsia="Times New Roman" w:hAnsi="Candara" w:cs="Arial"/>
          <w:color w:val="222222"/>
          <w:kern w:val="0"/>
          <w:lang w:eastAsia="es-CL"/>
          <w14:ligatures w14:val="none"/>
        </w:rPr>
        <w:t xml:space="preserve">, abandonados, empobrecidos material y culturalmente </w:t>
      </w:r>
      <w:r w:rsidRPr="008F6375">
        <w:rPr>
          <w:rFonts w:ascii="Candara" w:eastAsia="Times New Roman" w:hAnsi="Candara" w:cs="Arial"/>
          <w:color w:val="222222"/>
          <w:kern w:val="0"/>
          <w:lang w:eastAsia="es-CL"/>
          <w14:ligatures w14:val="none"/>
        </w:rPr>
        <w:t xml:space="preserve"> donde se tejen redes de solidaridad y prácticas de cuidado que desafían la lógica extractivista</w:t>
      </w:r>
      <w:r w:rsidR="00F44D6B" w:rsidRPr="008F6375">
        <w:rPr>
          <w:rFonts w:ascii="Candara" w:eastAsia="Times New Roman" w:hAnsi="Candara" w:cs="Arial"/>
          <w:color w:val="222222"/>
          <w:kern w:val="0"/>
          <w:lang w:eastAsia="es-CL"/>
          <w14:ligatures w14:val="none"/>
        </w:rPr>
        <w:t xml:space="preserve"> y la desposesión caníbal (Frazer</w:t>
      </w:r>
      <w:r w:rsidR="00D256E8" w:rsidRPr="008F6375">
        <w:rPr>
          <w:rFonts w:ascii="Candara" w:eastAsia="Times New Roman" w:hAnsi="Candara" w:cs="Arial"/>
          <w:color w:val="222222"/>
          <w:kern w:val="0"/>
          <w:lang w:eastAsia="es-CL"/>
          <w14:ligatures w14:val="none"/>
        </w:rPr>
        <w:t>, 2023</w:t>
      </w:r>
      <w:r w:rsidR="00F44D6B" w:rsidRPr="008F6375">
        <w:rPr>
          <w:rFonts w:ascii="Candara" w:eastAsia="Times New Roman" w:hAnsi="Candara" w:cs="Arial"/>
          <w:color w:val="222222"/>
          <w:kern w:val="0"/>
          <w:lang w:eastAsia="es-CL"/>
          <w14:ligatures w14:val="none"/>
        </w:rPr>
        <w:t>)</w:t>
      </w:r>
      <w:r w:rsidRPr="008F6375">
        <w:rPr>
          <w:rFonts w:ascii="Candara" w:eastAsia="Times New Roman" w:hAnsi="Candara" w:cs="Arial"/>
          <w:color w:val="222222"/>
          <w:kern w:val="0"/>
          <w:lang w:eastAsia="es-CL"/>
          <w14:ligatures w14:val="none"/>
        </w:rPr>
        <w:t>. Es precisamente desde la condición de</w:t>
      </w:r>
      <w:r w:rsidR="00F44D6B" w:rsidRPr="008F6375">
        <w:rPr>
          <w:rFonts w:ascii="Candara" w:eastAsia="Times New Roman" w:hAnsi="Candara" w:cs="Arial"/>
          <w:color w:val="222222"/>
          <w:kern w:val="0"/>
          <w:lang w:eastAsia="es-CL"/>
          <w14:ligatures w14:val="none"/>
        </w:rPr>
        <w:t xml:space="preserve"> desposeído</w:t>
      </w:r>
      <w:r w:rsidR="00D256E8" w:rsidRPr="008F6375">
        <w:rPr>
          <w:rFonts w:ascii="Candara" w:eastAsia="Times New Roman" w:hAnsi="Candara" w:cs="Arial"/>
          <w:color w:val="222222"/>
          <w:kern w:val="0"/>
          <w:lang w:eastAsia="es-CL"/>
          <w14:ligatures w14:val="none"/>
        </w:rPr>
        <w:t>-a</w:t>
      </w:r>
      <w:r w:rsidR="00F44D6B" w:rsidRPr="008F6375">
        <w:rPr>
          <w:rFonts w:ascii="Candara" w:eastAsia="Times New Roman" w:hAnsi="Candara" w:cs="Arial"/>
          <w:color w:val="222222"/>
          <w:kern w:val="0"/>
          <w:lang w:eastAsia="es-CL"/>
          <w14:ligatures w14:val="none"/>
        </w:rPr>
        <w:t xml:space="preserve"> </w:t>
      </w:r>
      <w:r w:rsidRPr="008F6375">
        <w:rPr>
          <w:rFonts w:ascii="Candara" w:eastAsia="Times New Roman" w:hAnsi="Candara" w:cs="Arial"/>
          <w:color w:val="222222"/>
          <w:kern w:val="0"/>
          <w:lang w:eastAsia="es-CL"/>
          <w14:ligatures w14:val="none"/>
        </w:rPr>
        <w:t xml:space="preserve">  —pero no como reducto de victimización— que emerge la potencia política: la experiencia del despojo genera un conocimiento sobre el sistema que quien ocupa posiciones de privilegio no puede poseer.</w:t>
      </w:r>
    </w:p>
    <w:p w14:paraId="2FAE754D"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3962A02A" w14:textId="0E692978"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Esta práctica sugiere que la ciudadanía de rexistencia opera en dos planos. Por un lado, el plano de la memoria: mantener vivo lo que el sistema pretende aniquilar, preservar las historias que </w:t>
      </w:r>
      <w:r w:rsidR="00F44D6B" w:rsidRPr="008F6375">
        <w:rPr>
          <w:rFonts w:ascii="Candara" w:eastAsia="Times New Roman" w:hAnsi="Candara" w:cs="Arial"/>
          <w:color w:val="222222"/>
          <w:kern w:val="0"/>
          <w:lang w:eastAsia="es-CL"/>
          <w14:ligatures w14:val="none"/>
        </w:rPr>
        <w:t>los epistemicidios</w:t>
      </w:r>
      <w:r w:rsidRPr="008F6375">
        <w:rPr>
          <w:rFonts w:ascii="Candara" w:eastAsia="Times New Roman" w:hAnsi="Candara" w:cs="Arial"/>
          <w:color w:val="222222"/>
          <w:kern w:val="0"/>
          <w:lang w:eastAsia="es-CL"/>
          <w14:ligatures w14:val="none"/>
        </w:rPr>
        <w:t xml:space="preserve"> condena</w:t>
      </w:r>
      <w:r w:rsidR="00F44D6B" w:rsidRPr="008F6375">
        <w:rPr>
          <w:rFonts w:ascii="Candara" w:eastAsia="Times New Roman" w:hAnsi="Candara" w:cs="Arial"/>
          <w:color w:val="222222"/>
          <w:kern w:val="0"/>
          <w:lang w:eastAsia="es-CL"/>
          <w14:ligatures w14:val="none"/>
        </w:rPr>
        <w:t>n</w:t>
      </w:r>
      <w:r w:rsidRPr="008F6375">
        <w:rPr>
          <w:rFonts w:ascii="Candara" w:eastAsia="Times New Roman" w:hAnsi="Candara" w:cs="Arial"/>
          <w:color w:val="222222"/>
          <w:kern w:val="0"/>
          <w:lang w:eastAsia="es-CL"/>
          <w14:ligatures w14:val="none"/>
        </w:rPr>
        <w:t xml:space="preserve"> al silencio. Por otro, el plano de la agencia presente: construir formas de vida y organización que no se rigen por la lógica de la extracción y el descarte, sino por la lógica del cuidado y la reproducción de la vida.</w:t>
      </w:r>
    </w:p>
    <w:p w14:paraId="17A73AE9"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058BB359" w14:textId="77777777" w:rsidR="008930E8" w:rsidRPr="008F6375" w:rsidRDefault="008930E8" w:rsidP="008F6375">
      <w:pPr>
        <w:spacing w:after="0" w:line="360" w:lineRule="auto"/>
        <w:jc w:val="both"/>
        <w:textAlignment w:val="bottom"/>
        <w:rPr>
          <w:rFonts w:ascii="Candara" w:eastAsia="Times New Roman" w:hAnsi="Candara" w:cs="Arial"/>
          <w:b/>
          <w:bCs/>
          <w:color w:val="222222"/>
          <w:kern w:val="0"/>
          <w:lang w:eastAsia="es-CL"/>
          <w14:ligatures w14:val="none"/>
        </w:rPr>
      </w:pPr>
      <w:r w:rsidRPr="008F6375">
        <w:rPr>
          <w:rFonts w:ascii="Candara" w:eastAsia="Times New Roman" w:hAnsi="Candara" w:cs="Arial"/>
          <w:b/>
          <w:bCs/>
          <w:color w:val="222222"/>
          <w:kern w:val="0"/>
          <w:lang w:eastAsia="es-CL"/>
          <w14:ligatures w14:val="none"/>
        </w:rPr>
        <w:t>Hacia una Política de la Escucha</w:t>
      </w:r>
    </w:p>
    <w:p w14:paraId="5B6C015F"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597D8183" w14:textId="01CA0589"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La propuesta de un humanismo </w:t>
      </w:r>
      <w:r w:rsidR="00FD6688" w:rsidRPr="008F6375">
        <w:rPr>
          <w:rFonts w:ascii="Candara" w:eastAsia="Times New Roman" w:hAnsi="Candara" w:cs="Arial"/>
          <w:color w:val="222222"/>
          <w:kern w:val="0"/>
          <w:lang w:eastAsia="es-CL"/>
          <w14:ligatures w14:val="none"/>
        </w:rPr>
        <w:t xml:space="preserve">comunitario </w:t>
      </w:r>
      <w:r w:rsidRPr="008F6375">
        <w:rPr>
          <w:rFonts w:ascii="Candara" w:eastAsia="Times New Roman" w:hAnsi="Candara" w:cs="Arial"/>
          <w:color w:val="222222"/>
          <w:kern w:val="0"/>
          <w:lang w:eastAsia="es-CL"/>
          <w14:ligatures w14:val="none"/>
        </w:rPr>
        <w:t>no es una invitación al voluntarismo ético ni a la conmiseración. Es una apuesta política que exige transformar las condiciones de producción de conocimiento y las prácticas de intervención social. Si la universidad, la academia y el activismo institucionalizado han funcionado frecuentemente como instrumentos de extracción simbólica —tomando conocimiento de las comunidades sin devolver nada, o devolviendo solo el capital simbólico que acrecienta su propio prestigio—, la alternativa es una práctica de acompañamiento que reconozca a los sujetos como productores de saber y no meros proveedores de datos.</w:t>
      </w:r>
    </w:p>
    <w:p w14:paraId="3EDE5CED"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739FBDDF" w14:textId="742639ED"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lastRenderedPageBreak/>
        <w:t>La ciudadanía de  rexistencia no requiere que los sujetos subalternos se conviertan en ciudadanos "ideales" según los parámetros del orden dominante. Requiere, por el contrario, que ese orden sea cuestionado desde la experiencia de quienes lo sufren, y que sus prácticas de sobrevivencia y solidaridad sean reconocidas como formas de ciudadanía en pleno derecho.</w:t>
      </w:r>
    </w:p>
    <w:p w14:paraId="524402AE"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1627B1FE" w14:textId="7A2C1911" w:rsidR="008930E8" w:rsidRPr="008F6375" w:rsidRDefault="008930E8" w:rsidP="008F6375">
      <w:pPr>
        <w:spacing w:after="0" w:line="360" w:lineRule="auto"/>
        <w:jc w:val="both"/>
        <w:textAlignment w:val="bottom"/>
        <w:rPr>
          <w:rFonts w:ascii="Candara" w:eastAsia="Times New Roman" w:hAnsi="Candara" w:cs="Arial"/>
          <w:b/>
          <w:bCs/>
          <w:color w:val="222222"/>
          <w:kern w:val="0"/>
          <w:lang w:eastAsia="es-CL"/>
          <w14:ligatures w14:val="none"/>
        </w:rPr>
      </w:pPr>
      <w:r w:rsidRPr="008F6375">
        <w:rPr>
          <w:rFonts w:ascii="Candara" w:eastAsia="Times New Roman" w:hAnsi="Candara" w:cs="Arial"/>
          <w:b/>
          <w:bCs/>
          <w:color w:val="222222"/>
          <w:kern w:val="0"/>
          <w:lang w:eastAsia="es-CL"/>
          <w14:ligatures w14:val="none"/>
        </w:rPr>
        <w:t>Conclusi</w:t>
      </w:r>
      <w:r w:rsidR="00FD6688" w:rsidRPr="008F6375">
        <w:rPr>
          <w:rFonts w:ascii="Candara" w:eastAsia="Times New Roman" w:hAnsi="Candara" w:cs="Arial"/>
          <w:b/>
          <w:bCs/>
          <w:color w:val="222222"/>
          <w:kern w:val="0"/>
          <w:lang w:eastAsia="es-CL"/>
          <w14:ligatures w14:val="none"/>
        </w:rPr>
        <w:t xml:space="preserve">ones  </w:t>
      </w:r>
    </w:p>
    <w:p w14:paraId="0BE41C84"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4926B31E" w14:textId="2DF2CDF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L</w:t>
      </w:r>
      <w:r w:rsidR="00FD6688" w:rsidRPr="008F6375">
        <w:rPr>
          <w:rFonts w:ascii="Candara" w:eastAsia="Times New Roman" w:hAnsi="Candara" w:cs="Arial"/>
          <w:color w:val="222222"/>
          <w:kern w:val="0"/>
          <w:lang w:eastAsia="es-CL"/>
          <w14:ligatures w14:val="none"/>
        </w:rPr>
        <w:t xml:space="preserve">as comunidades </w:t>
      </w:r>
      <w:r w:rsidRPr="008F6375">
        <w:rPr>
          <w:rFonts w:ascii="Candara" w:eastAsia="Times New Roman" w:hAnsi="Candara" w:cs="Arial"/>
          <w:color w:val="222222"/>
          <w:kern w:val="0"/>
          <w:lang w:eastAsia="es-CL"/>
          <w14:ligatures w14:val="none"/>
        </w:rPr>
        <w:t xml:space="preserve"> invisibilizad</w:t>
      </w:r>
      <w:r w:rsidR="00FD6688" w:rsidRPr="008F6375">
        <w:rPr>
          <w:rFonts w:ascii="Candara" w:eastAsia="Times New Roman" w:hAnsi="Candara" w:cs="Arial"/>
          <w:color w:val="222222"/>
          <w:kern w:val="0"/>
          <w:lang w:eastAsia="es-CL"/>
          <w14:ligatures w14:val="none"/>
        </w:rPr>
        <w:t>a</w:t>
      </w:r>
      <w:r w:rsidRPr="008F6375">
        <w:rPr>
          <w:rFonts w:ascii="Candara" w:eastAsia="Times New Roman" w:hAnsi="Candara" w:cs="Arial"/>
          <w:color w:val="222222"/>
          <w:kern w:val="0"/>
          <w:lang w:eastAsia="es-CL"/>
          <w14:ligatures w14:val="none"/>
        </w:rPr>
        <w:t xml:space="preserve">s </w:t>
      </w:r>
      <w:r w:rsidR="00FD6688" w:rsidRPr="008F6375">
        <w:rPr>
          <w:rFonts w:ascii="Candara" w:eastAsia="Times New Roman" w:hAnsi="Candara" w:cs="Arial"/>
          <w:color w:val="222222"/>
          <w:kern w:val="0"/>
          <w:lang w:eastAsia="es-CL"/>
          <w14:ligatures w14:val="none"/>
        </w:rPr>
        <w:t xml:space="preserve">, desposeídas </w:t>
      </w:r>
      <w:r w:rsidRPr="008F6375">
        <w:rPr>
          <w:rFonts w:ascii="Candara" w:eastAsia="Times New Roman" w:hAnsi="Candara" w:cs="Arial"/>
          <w:color w:val="222222"/>
          <w:kern w:val="0"/>
          <w:lang w:eastAsia="es-CL"/>
          <w14:ligatures w14:val="none"/>
        </w:rPr>
        <w:t xml:space="preserve">y </w:t>
      </w:r>
      <w:r w:rsidR="00FD6688" w:rsidRPr="008F6375">
        <w:rPr>
          <w:rFonts w:ascii="Candara" w:eastAsia="Times New Roman" w:hAnsi="Candara" w:cs="Arial"/>
          <w:color w:val="222222"/>
          <w:kern w:val="0"/>
          <w:lang w:eastAsia="es-CL"/>
          <w14:ligatures w14:val="none"/>
        </w:rPr>
        <w:t xml:space="preserve"> descartadas </w:t>
      </w:r>
      <w:r w:rsidRPr="008F6375">
        <w:rPr>
          <w:rFonts w:ascii="Candara" w:eastAsia="Times New Roman" w:hAnsi="Candara" w:cs="Arial"/>
          <w:color w:val="222222"/>
          <w:kern w:val="0"/>
          <w:lang w:eastAsia="es-CL"/>
          <w14:ligatures w14:val="none"/>
        </w:rPr>
        <w:t xml:space="preserve"> por el capitalismo extractivista y aporofóbico no son meras víctimas de un sistema que los descarta. Son, en su condición de dignidad humana inalienable, la posibilidad misma de una política alternativa</w:t>
      </w:r>
      <w:r w:rsidR="00FD6688" w:rsidRPr="008F6375">
        <w:rPr>
          <w:rFonts w:ascii="Candara" w:eastAsia="Times New Roman" w:hAnsi="Candara" w:cs="Arial"/>
          <w:color w:val="222222"/>
          <w:kern w:val="0"/>
          <w:lang w:eastAsia="es-CL"/>
          <w14:ligatures w14:val="none"/>
        </w:rPr>
        <w:t xml:space="preserve">, de un comunitarismo activo. </w:t>
      </w:r>
      <w:r w:rsidRPr="008F6375">
        <w:rPr>
          <w:rFonts w:ascii="Candara" w:eastAsia="Times New Roman" w:hAnsi="Candara" w:cs="Arial"/>
          <w:color w:val="222222"/>
          <w:kern w:val="0"/>
          <w:lang w:eastAsia="es-CL"/>
          <w14:ligatures w14:val="none"/>
        </w:rPr>
        <w:t>Su capacidad de constituirse como ciudadanía de  rexistencia depende  de su potencia de persistir en la existencia, de nombrar su experiencia y de construir formas de vida que el sistema no puede capturar ni extraer.</w:t>
      </w:r>
    </w:p>
    <w:p w14:paraId="6CB26475"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12C4BF30" w14:textId="3A26EBC2"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r w:rsidRPr="008F6375">
        <w:rPr>
          <w:rFonts w:ascii="Candara" w:eastAsia="Times New Roman" w:hAnsi="Candara" w:cs="Arial"/>
          <w:color w:val="222222"/>
          <w:kern w:val="0"/>
          <w:lang w:eastAsia="es-CL"/>
          <w14:ligatures w14:val="none"/>
        </w:rPr>
        <w:t xml:space="preserve">El humanismo </w:t>
      </w:r>
      <w:r w:rsidR="00FD6688" w:rsidRPr="008F6375">
        <w:rPr>
          <w:rFonts w:ascii="Candara" w:eastAsia="Times New Roman" w:hAnsi="Candara" w:cs="Arial"/>
          <w:color w:val="222222"/>
          <w:kern w:val="0"/>
          <w:lang w:eastAsia="es-CL"/>
          <w14:ligatures w14:val="none"/>
        </w:rPr>
        <w:t>comunitario,</w:t>
      </w:r>
      <w:r w:rsidRPr="008F6375">
        <w:rPr>
          <w:rFonts w:ascii="Candara" w:eastAsia="Times New Roman" w:hAnsi="Candara" w:cs="Arial"/>
          <w:color w:val="222222"/>
          <w:kern w:val="0"/>
          <w:lang w:eastAsia="es-CL"/>
          <w14:ligatures w14:val="none"/>
        </w:rPr>
        <w:t xml:space="preserve"> entendido como práctica de escucha, acompañamiento y reconocimiento, ofrece herramientas para articular esta política desde una posición ética que rechaza tanto el paternalismo como la extracción académica. No se trata de hablar por los otros, sino de crear condiciones para que sus voces sean escuchadas y sus prácticas reconocidas como saber legítimo</w:t>
      </w:r>
    </w:p>
    <w:p w14:paraId="20E75075" w14:textId="77777777" w:rsidR="008930E8" w:rsidRPr="008F6375" w:rsidRDefault="008930E8" w:rsidP="008F6375">
      <w:pPr>
        <w:spacing w:after="0" w:line="360" w:lineRule="auto"/>
        <w:jc w:val="both"/>
        <w:textAlignment w:val="bottom"/>
        <w:rPr>
          <w:rFonts w:ascii="Candara" w:eastAsia="Times New Roman" w:hAnsi="Candara" w:cs="Arial"/>
          <w:color w:val="222222"/>
          <w:kern w:val="0"/>
          <w:lang w:eastAsia="es-CL"/>
          <w14:ligatures w14:val="none"/>
        </w:rPr>
      </w:pPr>
    </w:p>
    <w:p w14:paraId="68EF8143" w14:textId="4862B59C" w:rsidR="008930E8" w:rsidRPr="008F6375" w:rsidRDefault="00FD6688" w:rsidP="008F6375">
      <w:pPr>
        <w:spacing w:line="360" w:lineRule="auto"/>
        <w:jc w:val="both"/>
        <w:rPr>
          <w:rFonts w:ascii="Candara" w:eastAsia="Times New Roman" w:hAnsi="Candara" w:cs="Arial"/>
          <w:b/>
          <w:bCs/>
          <w:color w:val="222222"/>
          <w:kern w:val="0"/>
          <w:lang w:eastAsia="es-CL"/>
          <w14:ligatures w14:val="none"/>
        </w:rPr>
      </w:pPr>
      <w:r w:rsidRPr="008F6375">
        <w:rPr>
          <w:rFonts w:ascii="Candara" w:eastAsia="Times New Roman" w:hAnsi="Candara" w:cs="Arial"/>
          <w:b/>
          <w:bCs/>
          <w:color w:val="222222"/>
          <w:kern w:val="0"/>
          <w:lang w:eastAsia="es-CL"/>
          <w14:ligatures w14:val="none"/>
        </w:rPr>
        <w:t>Referencias bibliográficas</w:t>
      </w:r>
      <w:r w:rsidR="00D256E8" w:rsidRPr="008F6375">
        <w:rPr>
          <w:rFonts w:ascii="Candara" w:eastAsia="Times New Roman" w:hAnsi="Candara" w:cs="Arial"/>
          <w:b/>
          <w:bCs/>
          <w:color w:val="222222"/>
          <w:kern w:val="0"/>
          <w:lang w:eastAsia="es-CL"/>
          <w14:ligatures w14:val="none"/>
        </w:rPr>
        <w:t>.</w:t>
      </w:r>
    </w:p>
    <w:p w14:paraId="1AFD801F" w14:textId="152AA9EB" w:rsidR="00D256E8" w:rsidRPr="008F6375" w:rsidRDefault="00D256E8" w:rsidP="008F6375">
      <w:pPr>
        <w:pStyle w:val="Prrafodelista"/>
        <w:numPr>
          <w:ilvl w:val="0"/>
          <w:numId w:val="1"/>
        </w:numPr>
        <w:spacing w:line="360" w:lineRule="auto"/>
        <w:jc w:val="both"/>
        <w:rPr>
          <w:rFonts w:ascii="Candara" w:hAnsi="Candara"/>
        </w:rPr>
      </w:pPr>
      <w:r w:rsidRPr="008F6375">
        <w:rPr>
          <w:rFonts w:ascii="Candara" w:hAnsi="Candara"/>
        </w:rPr>
        <w:t>Cortina, A. (2000). Aporofobia. El rechazo del pobre. Ciudad de México: Paidós</w:t>
      </w:r>
    </w:p>
    <w:p w14:paraId="4BFF903A" w14:textId="4F672220" w:rsidR="00D256E8" w:rsidRPr="008F6375" w:rsidRDefault="00D256E8" w:rsidP="008F6375">
      <w:pPr>
        <w:pStyle w:val="Prrafodelista"/>
        <w:numPr>
          <w:ilvl w:val="0"/>
          <w:numId w:val="1"/>
        </w:numPr>
        <w:spacing w:line="360" w:lineRule="auto"/>
        <w:jc w:val="both"/>
        <w:rPr>
          <w:rFonts w:ascii="Candara" w:hAnsi="Candara"/>
        </w:rPr>
      </w:pPr>
      <w:r w:rsidRPr="008F6375">
        <w:rPr>
          <w:rFonts w:ascii="Candara" w:hAnsi="Candara"/>
        </w:rPr>
        <w:t>dos Santos Souza, B. (2021). El fin del imperio cognitivo. Madrid: Trotta</w:t>
      </w:r>
    </w:p>
    <w:p w14:paraId="6A60FB28" w14:textId="6571D09F" w:rsidR="00D256E8" w:rsidRPr="001D28B0" w:rsidRDefault="00D256E8" w:rsidP="008F6375">
      <w:pPr>
        <w:pStyle w:val="Prrafodelista"/>
        <w:numPr>
          <w:ilvl w:val="0"/>
          <w:numId w:val="1"/>
        </w:numPr>
        <w:spacing w:line="360" w:lineRule="auto"/>
        <w:jc w:val="both"/>
        <w:rPr>
          <w:rFonts w:ascii="Candara" w:hAnsi="Candara"/>
          <w:lang w:val="pt-PT"/>
        </w:rPr>
      </w:pPr>
      <w:r w:rsidRPr="001D28B0">
        <w:rPr>
          <w:rFonts w:ascii="Candara" w:hAnsi="Candara"/>
          <w:lang w:val="pt-PT"/>
        </w:rPr>
        <w:t>Frazer, M. (2023). Capitalismo caníbal. Buenos Aires: Paidós</w:t>
      </w:r>
    </w:p>
    <w:p w14:paraId="37F6A7CC" w14:textId="77777777" w:rsidR="008F6375" w:rsidRPr="008F6375" w:rsidRDefault="00D256E8" w:rsidP="008F6375">
      <w:pPr>
        <w:pStyle w:val="Prrafodelista"/>
        <w:numPr>
          <w:ilvl w:val="0"/>
          <w:numId w:val="1"/>
        </w:numPr>
        <w:spacing w:line="360" w:lineRule="auto"/>
        <w:jc w:val="both"/>
        <w:rPr>
          <w:rFonts w:ascii="Candara" w:hAnsi="Candara"/>
        </w:rPr>
      </w:pPr>
      <w:r w:rsidRPr="008F6375">
        <w:rPr>
          <w:rFonts w:ascii="Candara" w:hAnsi="Candara"/>
        </w:rPr>
        <w:t>Frere, P. (2015). Pedagogía del oprimido. Buenos Aires: Siglo XXI.</w:t>
      </w:r>
    </w:p>
    <w:p w14:paraId="4486082C" w14:textId="37F850D2" w:rsidR="008F6375" w:rsidRPr="008F6375" w:rsidRDefault="008F6375" w:rsidP="008F6375">
      <w:pPr>
        <w:pStyle w:val="Prrafodelista"/>
        <w:numPr>
          <w:ilvl w:val="0"/>
          <w:numId w:val="1"/>
        </w:numPr>
        <w:spacing w:line="360" w:lineRule="auto"/>
        <w:jc w:val="both"/>
        <w:rPr>
          <w:rFonts w:ascii="Candara" w:hAnsi="Candara"/>
        </w:rPr>
      </w:pPr>
      <w:r w:rsidRPr="008F6375">
        <w:rPr>
          <w:rFonts w:ascii="Candara" w:hAnsi="Candara"/>
        </w:rPr>
        <w:t xml:space="preserve">Osorio, J (2022). </w:t>
      </w:r>
      <w:r w:rsidRPr="008F6375">
        <w:rPr>
          <w:rFonts w:ascii="Candara" w:eastAsia="Times New Roman" w:hAnsi="Candara" w:cs="Times New Roman"/>
          <w:color w:val="202020"/>
          <w:kern w:val="36"/>
          <w:lang w:eastAsia="es-CL"/>
          <w14:ligatures w14:val="none"/>
        </w:rPr>
        <w:t xml:space="preserve">Liberando la pesadez opresiva: emergencias sociales y nuevas narrativas ciudadanas en América </w:t>
      </w:r>
      <w:r w:rsidR="00653ED9" w:rsidRPr="008F6375">
        <w:rPr>
          <w:rFonts w:ascii="Candara" w:eastAsia="Times New Roman" w:hAnsi="Candara" w:cs="Times New Roman"/>
          <w:color w:val="202020"/>
          <w:kern w:val="36"/>
          <w:lang w:eastAsia="es-CL"/>
          <w14:ligatures w14:val="none"/>
        </w:rPr>
        <w:t>Latina:</w:t>
      </w:r>
      <w:r w:rsidRPr="008F6375">
        <w:rPr>
          <w:rFonts w:ascii="Candara" w:hAnsi="Candara"/>
        </w:rPr>
        <w:t xml:space="preserve"> </w:t>
      </w:r>
      <w:hyperlink r:id="rId8" w:history="1">
        <w:r w:rsidRPr="008F6375">
          <w:rPr>
            <w:rStyle w:val="Hipervnculo"/>
            <w:rFonts w:ascii="Candara" w:eastAsia="Times New Roman" w:hAnsi="Candara" w:cs="Times New Roman"/>
            <w:kern w:val="36"/>
            <w:lang w:eastAsia="es-CL"/>
            <w14:ligatures w14:val="none"/>
          </w:rPr>
          <w:t>https://revistas.idep.edu.co/index.php/educacion-y-ciudad/article/view/2744/2196</w:t>
        </w:r>
      </w:hyperlink>
    </w:p>
    <w:p w14:paraId="74241255" w14:textId="77777777" w:rsidR="008F6375" w:rsidRPr="00653ED9" w:rsidRDefault="008F6375" w:rsidP="00653ED9">
      <w:pPr>
        <w:spacing w:line="360" w:lineRule="auto"/>
        <w:ind w:left="360"/>
        <w:jc w:val="both"/>
        <w:rPr>
          <w:rFonts w:ascii="Candara" w:hAnsi="Candara"/>
        </w:rPr>
      </w:pPr>
    </w:p>
    <w:p w14:paraId="033B5663" w14:textId="64F44FA2" w:rsidR="008F6375" w:rsidRPr="008F6375" w:rsidRDefault="008F6375" w:rsidP="008F6375">
      <w:pPr>
        <w:pStyle w:val="Prrafodelista"/>
        <w:numPr>
          <w:ilvl w:val="0"/>
          <w:numId w:val="1"/>
        </w:numPr>
        <w:spacing w:line="360" w:lineRule="auto"/>
        <w:jc w:val="both"/>
        <w:rPr>
          <w:rFonts w:ascii="Candara" w:hAnsi="Candara"/>
        </w:rPr>
      </w:pPr>
    </w:p>
    <w:sectPr w:rsidR="008F6375" w:rsidRPr="008F637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26A0B" w14:textId="77777777" w:rsidR="00C16D05" w:rsidRDefault="00C16D05" w:rsidP="008F6375">
      <w:pPr>
        <w:spacing w:after="0" w:line="240" w:lineRule="auto"/>
      </w:pPr>
      <w:r>
        <w:separator/>
      </w:r>
    </w:p>
  </w:endnote>
  <w:endnote w:type="continuationSeparator" w:id="0">
    <w:p w14:paraId="3DB286E1" w14:textId="77777777" w:rsidR="00C16D05" w:rsidRDefault="00C16D05" w:rsidP="008F6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7D136" w14:textId="77777777" w:rsidR="00C16D05" w:rsidRDefault="00C16D05" w:rsidP="008F6375">
      <w:pPr>
        <w:spacing w:after="0" w:line="240" w:lineRule="auto"/>
      </w:pPr>
      <w:r>
        <w:separator/>
      </w:r>
    </w:p>
  </w:footnote>
  <w:footnote w:type="continuationSeparator" w:id="0">
    <w:p w14:paraId="6F06B46C" w14:textId="77777777" w:rsidR="00C16D05" w:rsidRDefault="00C16D05" w:rsidP="008F6375">
      <w:pPr>
        <w:spacing w:after="0" w:line="240" w:lineRule="auto"/>
      </w:pPr>
      <w:r>
        <w:continuationSeparator/>
      </w:r>
    </w:p>
  </w:footnote>
  <w:footnote w:id="1">
    <w:p w14:paraId="264461CF" w14:textId="5640C04B" w:rsidR="008F6375" w:rsidRDefault="008F6375">
      <w:pPr>
        <w:pStyle w:val="Textonotapie"/>
      </w:pPr>
      <w:r>
        <w:rPr>
          <w:rStyle w:val="Refdenotaalpie"/>
        </w:rPr>
        <w:footnoteRef/>
      </w:r>
      <w:r>
        <w:t xml:space="preserve"> Educador chileno, profesor universitario en Universidad de Valparaíso  y Universidad de Playa Ancha. Miembro del Gipe-CEAAL. </w:t>
      </w:r>
      <w:r w:rsidR="00653ED9">
        <w:t>Facilitador</w:t>
      </w:r>
      <w:r>
        <w:t xml:space="preserve"> de procesos</w:t>
      </w:r>
      <w:r w:rsidR="00653ED9">
        <w:t xml:space="preserve"> grupales de formación de educadores populares y de base comunitaria y de las redes de educación de personas jóvenes y adultas (EPJA). Temas e docencia e investigación: Educación y Ciudadanía, IAP, pedagogías comunitarias, formación de profesionales social según el enfoque de Donald Shön, Paulo Freire, Carl Rogers  y Martha Nussbaum. Sus textos se pueden leer en; </w:t>
      </w:r>
      <w:hyperlink r:id="rId1" w:history="1">
        <w:r w:rsidR="00653ED9" w:rsidRPr="002D3336">
          <w:rPr>
            <w:rStyle w:val="Hipervnculo"/>
          </w:rPr>
          <w:t>https://www.researchgate.net/profile/Jorge-Osorio-3</w:t>
        </w:r>
      </w:hyperlink>
    </w:p>
    <w:p w14:paraId="20F13484" w14:textId="77777777" w:rsidR="00653ED9" w:rsidRDefault="00653ED9">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566EC"/>
    <w:multiLevelType w:val="hybridMultilevel"/>
    <w:tmpl w:val="448C1770"/>
    <w:lvl w:ilvl="0" w:tplc="991E866C">
      <w:start w:val="3"/>
      <w:numFmt w:val="bullet"/>
      <w:lvlText w:val="-"/>
      <w:lvlJc w:val="left"/>
      <w:pPr>
        <w:ind w:left="720" w:hanging="360"/>
      </w:pPr>
      <w:rPr>
        <w:rFonts w:ascii="Arial" w:eastAsia="Times New Roman" w:hAnsi="Arial" w:cs="Arial" w:hint="default"/>
        <w:color w:val="222222"/>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075738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E8"/>
    <w:rsid w:val="001D28B0"/>
    <w:rsid w:val="00576430"/>
    <w:rsid w:val="00653ED9"/>
    <w:rsid w:val="008930E8"/>
    <w:rsid w:val="008F6375"/>
    <w:rsid w:val="00C16D05"/>
    <w:rsid w:val="00D256E8"/>
    <w:rsid w:val="00F44D6B"/>
    <w:rsid w:val="00FD6688"/>
    <w:rsid w:val="00FF30B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A985"/>
  <w15:chartTrackingRefBased/>
  <w15:docId w15:val="{BC531616-89D8-4822-A0A2-A8541738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930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930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930E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930E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930E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930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30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30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30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30E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930E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930E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930E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930E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930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30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30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30E8"/>
    <w:rPr>
      <w:rFonts w:eastAsiaTheme="majorEastAsia" w:cstheme="majorBidi"/>
      <w:color w:val="272727" w:themeColor="text1" w:themeTint="D8"/>
    </w:rPr>
  </w:style>
  <w:style w:type="paragraph" w:styleId="Ttulo">
    <w:name w:val="Title"/>
    <w:basedOn w:val="Normal"/>
    <w:next w:val="Normal"/>
    <w:link w:val="TtuloCar"/>
    <w:uiPriority w:val="10"/>
    <w:qFormat/>
    <w:rsid w:val="008930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30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30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30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30E8"/>
    <w:pPr>
      <w:spacing w:before="160"/>
      <w:jc w:val="center"/>
    </w:pPr>
    <w:rPr>
      <w:i/>
      <w:iCs/>
      <w:color w:val="404040" w:themeColor="text1" w:themeTint="BF"/>
    </w:rPr>
  </w:style>
  <w:style w:type="character" w:customStyle="1" w:styleId="CitaCar">
    <w:name w:val="Cita Car"/>
    <w:basedOn w:val="Fuentedeprrafopredeter"/>
    <w:link w:val="Cita"/>
    <w:uiPriority w:val="29"/>
    <w:rsid w:val="008930E8"/>
    <w:rPr>
      <w:i/>
      <w:iCs/>
      <w:color w:val="404040" w:themeColor="text1" w:themeTint="BF"/>
    </w:rPr>
  </w:style>
  <w:style w:type="paragraph" w:styleId="Prrafodelista">
    <w:name w:val="List Paragraph"/>
    <w:basedOn w:val="Normal"/>
    <w:uiPriority w:val="34"/>
    <w:qFormat/>
    <w:rsid w:val="008930E8"/>
    <w:pPr>
      <w:ind w:left="720"/>
      <w:contextualSpacing/>
    </w:pPr>
  </w:style>
  <w:style w:type="character" w:styleId="nfasisintenso">
    <w:name w:val="Intense Emphasis"/>
    <w:basedOn w:val="Fuentedeprrafopredeter"/>
    <w:uiPriority w:val="21"/>
    <w:qFormat/>
    <w:rsid w:val="008930E8"/>
    <w:rPr>
      <w:i/>
      <w:iCs/>
      <w:color w:val="0F4761" w:themeColor="accent1" w:themeShade="BF"/>
    </w:rPr>
  </w:style>
  <w:style w:type="paragraph" w:styleId="Citadestacada">
    <w:name w:val="Intense Quote"/>
    <w:basedOn w:val="Normal"/>
    <w:next w:val="Normal"/>
    <w:link w:val="CitadestacadaCar"/>
    <w:uiPriority w:val="30"/>
    <w:qFormat/>
    <w:rsid w:val="00893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930E8"/>
    <w:rPr>
      <w:i/>
      <w:iCs/>
      <w:color w:val="0F4761" w:themeColor="accent1" w:themeShade="BF"/>
    </w:rPr>
  </w:style>
  <w:style w:type="character" w:styleId="Referenciaintensa">
    <w:name w:val="Intense Reference"/>
    <w:basedOn w:val="Fuentedeprrafopredeter"/>
    <w:uiPriority w:val="32"/>
    <w:qFormat/>
    <w:rsid w:val="008930E8"/>
    <w:rPr>
      <w:b/>
      <w:bCs/>
      <w:smallCaps/>
      <w:color w:val="0F4761" w:themeColor="accent1" w:themeShade="BF"/>
      <w:spacing w:val="5"/>
    </w:rPr>
  </w:style>
  <w:style w:type="character" w:styleId="Hipervnculo">
    <w:name w:val="Hyperlink"/>
    <w:basedOn w:val="Fuentedeprrafopredeter"/>
    <w:uiPriority w:val="99"/>
    <w:unhideWhenUsed/>
    <w:rsid w:val="008F6375"/>
    <w:rPr>
      <w:color w:val="467886" w:themeColor="hyperlink"/>
      <w:u w:val="single"/>
    </w:rPr>
  </w:style>
  <w:style w:type="character" w:styleId="Mencinsinresolver">
    <w:name w:val="Unresolved Mention"/>
    <w:basedOn w:val="Fuentedeprrafopredeter"/>
    <w:uiPriority w:val="99"/>
    <w:semiHidden/>
    <w:unhideWhenUsed/>
    <w:rsid w:val="008F6375"/>
    <w:rPr>
      <w:color w:val="605E5C"/>
      <w:shd w:val="clear" w:color="auto" w:fill="E1DFDD"/>
    </w:rPr>
  </w:style>
  <w:style w:type="paragraph" w:styleId="Textonotapie">
    <w:name w:val="footnote text"/>
    <w:basedOn w:val="Normal"/>
    <w:link w:val="TextonotapieCar"/>
    <w:uiPriority w:val="99"/>
    <w:semiHidden/>
    <w:unhideWhenUsed/>
    <w:rsid w:val="008F637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F6375"/>
    <w:rPr>
      <w:sz w:val="20"/>
      <w:szCs w:val="20"/>
    </w:rPr>
  </w:style>
  <w:style w:type="character" w:styleId="Refdenotaalpie">
    <w:name w:val="footnote reference"/>
    <w:basedOn w:val="Fuentedeprrafopredeter"/>
    <w:uiPriority w:val="99"/>
    <w:semiHidden/>
    <w:unhideWhenUsed/>
    <w:rsid w:val="008F63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idep.edu.co/index.php/educacion-y-ciudad/article/view/2744/219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profile/Jorge-Osorio-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4EED8-9A4F-4E88-A430-D86BD7AA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1310</Words>
  <Characters>7210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Osorio Vargas</dc:creator>
  <cp:keywords/>
  <dc:description/>
  <cp:lastModifiedBy>Rosario Hermano</cp:lastModifiedBy>
  <cp:revision>2</cp:revision>
  <dcterms:created xsi:type="dcterms:W3CDTF">2026-07-08T22:24:00Z</dcterms:created>
  <dcterms:modified xsi:type="dcterms:W3CDTF">2026-07-08T22:24:00Z</dcterms:modified>
</cp:coreProperties>
</file>