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91E48" w14:textId="77777777" w:rsidR="00D800E5" w:rsidRPr="00D800E5" w:rsidRDefault="00D800E5" w:rsidP="00D800E5">
      <w:pPr>
        <w:spacing w:after="100" w:afterAutospacing="1" w:line="240" w:lineRule="auto"/>
        <w:jc w:val="both"/>
        <w:outlineLvl w:val="1"/>
        <w:rPr>
          <w:rFonts w:ascii="inherit" w:eastAsia="Times New Roman" w:hAnsi="inherit" w:cs="Times New Roman"/>
          <w:b/>
          <w:bCs/>
          <w:kern w:val="0"/>
          <w:sz w:val="34"/>
          <w:szCs w:val="34"/>
          <w:lang w:eastAsia="es-UY"/>
          <w14:ligatures w14:val="none"/>
        </w:rPr>
      </w:pPr>
      <w:proofErr w:type="spellStart"/>
      <w:r w:rsidRPr="00D800E5">
        <w:rPr>
          <w:rFonts w:ascii="inherit" w:eastAsia="Times New Roman" w:hAnsi="inherit" w:cs="Times New Roman"/>
          <w:b/>
          <w:bCs/>
          <w:kern w:val="0"/>
          <w:sz w:val="34"/>
          <w:szCs w:val="34"/>
          <w:lang w:eastAsia="es-UY"/>
          <w14:ligatures w14:val="none"/>
        </w:rPr>
        <w:t>Sitionuevo</w:t>
      </w:r>
      <w:proofErr w:type="spellEnd"/>
      <w:r w:rsidRPr="00D800E5">
        <w:rPr>
          <w:rFonts w:ascii="inherit" w:eastAsia="Times New Roman" w:hAnsi="inherit" w:cs="Times New Roman"/>
          <w:b/>
          <w:bCs/>
          <w:kern w:val="0"/>
          <w:sz w:val="34"/>
          <w:szCs w:val="34"/>
          <w:lang w:eastAsia="es-UY"/>
          <w14:ligatures w14:val="none"/>
        </w:rPr>
        <w:t>, Magdalena, requiere acciones urgentes de la institucionalidad que salvaguarden la vida y seguridad de sus habitantes</w:t>
      </w:r>
    </w:p>
    <w:p w14:paraId="518B92D6" w14:textId="77777777" w:rsidR="00D800E5" w:rsidRPr="00D800E5" w:rsidRDefault="00D800E5" w:rsidP="00D800E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777777"/>
          <w:kern w:val="0"/>
          <w:lang w:eastAsia="es-UY"/>
          <w14:ligatures w14:val="none"/>
        </w:rPr>
      </w:pPr>
      <w:r w:rsidRPr="00D800E5">
        <w:rPr>
          <w:rFonts w:ascii="Times New Roman" w:eastAsia="Times New Roman" w:hAnsi="Times New Roman" w:cs="Times New Roman"/>
          <w:color w:val="777777"/>
          <w:kern w:val="0"/>
          <w:lang w:eastAsia="es-UY"/>
          <w14:ligatures w14:val="none"/>
        </w:rPr>
        <w:t>Dom, 05 jul 2026</w:t>
      </w:r>
    </w:p>
    <w:p w14:paraId="728CFE0C" w14:textId="77777777" w:rsidR="00D800E5" w:rsidRPr="00D800E5" w:rsidRDefault="00D800E5" w:rsidP="00D800E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UY"/>
          <w14:ligatures w14:val="none"/>
        </w:rPr>
      </w:pPr>
      <w:r w:rsidRPr="00D800E5">
        <w:rPr>
          <w:rFonts w:ascii="Times New Roman" w:eastAsia="Times New Roman" w:hAnsi="Times New Roman" w:cs="Times New Roman"/>
          <w:kern w:val="0"/>
          <w:lang w:eastAsia="es-UY"/>
          <w14:ligatures w14:val="none"/>
        </w:rPr>
        <w:pict w14:anchorId="1034B10E">
          <v:rect id="_x0000_i1025" style="width:0;height:0" o:hralign="center" o:hrstd="t" o:hr="t" fillcolor="#a0a0a0" stroked="f"/>
        </w:pict>
      </w:r>
    </w:p>
    <w:p w14:paraId="25FAF830" w14:textId="77777777" w:rsidR="00D800E5" w:rsidRPr="00D800E5" w:rsidRDefault="00D800E5" w:rsidP="00D800E5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</w:pPr>
      <w:r w:rsidRPr="00D800E5">
        <w:rPr>
          <w:rFonts w:ascii="Segoe UI" w:eastAsia="Times New Roman" w:hAnsi="Segoe UI" w:cs="Segoe UI"/>
          <w:noProof/>
          <w:color w:val="272833"/>
          <w:kern w:val="0"/>
          <w:lang w:eastAsia="es-UY"/>
          <w14:ligatures w14:val="none"/>
        </w:rPr>
        <w:drawing>
          <wp:inline distT="0" distB="0" distL="0" distR="0" wp14:anchorId="1EAB587E" wp14:editId="77100CFD">
            <wp:extent cx="5486400" cy="3660035"/>
            <wp:effectExtent l="0" t="0" r="0" b="0"/>
            <wp:docPr id="4" name="Imagen 2" descr="Alerta Temprana de Inminencia 014 de 2026 Sitionuevo, Magdalena,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lerta Temprana de Inminencia 014 de 2026 Sitionuevo, Magdalena,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287" cy="3666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01D95" w14:textId="77777777" w:rsidR="00D800E5" w:rsidRPr="00D800E5" w:rsidRDefault="00D800E5" w:rsidP="00D800E5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</w:pPr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>•    El riesgo obedece a la expansión territorial y disputa armada entre el autodenominado EGC y las autodenominadas ACSN. </w:t>
      </w:r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br/>
        <w:t>•    Estos dos grupos armados tienen interés en el complejo lagunar de la Ciénaga Grande de Santa Marta, ya que se constituye en una ruta estratégica para el tránsito de estupefacientes y armas.</w:t>
      </w:r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br/>
        <w:t>•    Ante los peligros evidenciados, la Defensoría del Pueblo emitió la Alerta Temprana de Inminencia 014 de 2026.</w:t>
      </w:r>
    </w:p>
    <w:p w14:paraId="0D4BB64C" w14:textId="77777777" w:rsidR="00D800E5" w:rsidRPr="00D800E5" w:rsidRDefault="00D800E5" w:rsidP="00D800E5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</w:pPr>
      <w:r w:rsidRPr="00D800E5">
        <w:rPr>
          <w:rFonts w:ascii="Segoe UI" w:eastAsia="Times New Roman" w:hAnsi="Segoe UI" w:cs="Segoe UI"/>
          <w:b/>
          <w:bCs/>
          <w:color w:val="272833"/>
          <w:kern w:val="0"/>
          <w:lang w:eastAsia="es-UY"/>
          <w14:ligatures w14:val="none"/>
        </w:rPr>
        <w:t>Bogotá, 05 de julio de 2026 (@Defensoria.gov.co). </w:t>
      </w:r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 xml:space="preserve">Debido a la configuración de un escenario de riesgo extremo en la zona rural, que involucra parte de la Ciénaga Grande de Santa Marta, del municipio de </w:t>
      </w:r>
      <w:proofErr w:type="spellStart"/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>Sitionuevo</w:t>
      </w:r>
      <w:proofErr w:type="spellEnd"/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 xml:space="preserve"> (Magdalena), la Defensoría del Pueblo emitió la Alerta Temprana de Inminencia (ATI) 014 de 2026. Focaliza la atención en los centros poblados palafíticos Nueva Venecia y Buenavista, el corregimiento Palermo (incluyendo sus caseríos La Canchera, </w:t>
      </w:r>
      <w:proofErr w:type="spellStart"/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>Caño</w:t>
      </w:r>
      <w:proofErr w:type="spellEnd"/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 xml:space="preserve"> </w:t>
      </w:r>
      <w:proofErr w:type="spellStart"/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>Clarín</w:t>
      </w:r>
      <w:proofErr w:type="spellEnd"/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 xml:space="preserve"> y Villa </w:t>
      </w:r>
      <w:proofErr w:type="spellStart"/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>Clarín</w:t>
      </w:r>
      <w:proofErr w:type="spellEnd"/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>) y las veredas San Antonio, Carmona y La Trinidad.</w:t>
      </w:r>
    </w:p>
    <w:p w14:paraId="2C9D3AEE" w14:textId="77777777" w:rsidR="00D800E5" w:rsidRPr="00D800E5" w:rsidRDefault="00D800E5" w:rsidP="00D800E5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</w:pPr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 xml:space="preserve">El escenario de riesgo está determinado por la expansión territorial y la proximidad operativa de los grupos armados ilegales autodenominado EGC, que </w:t>
      </w:r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lastRenderedPageBreak/>
        <w:t>avanza desde el Atlántico, y autodenominadas ACSN, que mantienen presencia consolidada desde la vertiente occidental de la Sierra Nevada hacia la amplia zona del complejo cenagoso.</w:t>
      </w:r>
    </w:p>
    <w:p w14:paraId="26EA9494" w14:textId="77777777" w:rsidR="00D800E5" w:rsidRPr="00D800E5" w:rsidRDefault="00D800E5" w:rsidP="00D800E5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</w:pPr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 xml:space="preserve">A lo que está ocurriendo se suma la </w:t>
      </w:r>
      <w:proofErr w:type="spellStart"/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>reactivación</w:t>
      </w:r>
      <w:proofErr w:type="spellEnd"/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 xml:space="preserve"> de ‘Los Carperos’ en Palermo, grupo criminal que </w:t>
      </w:r>
      <w:proofErr w:type="spellStart"/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>podría</w:t>
      </w:r>
      <w:proofErr w:type="spellEnd"/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 xml:space="preserve"> ser cooptado por alguno de los dos grupos para fortalecer su accionar, lo cual </w:t>
      </w:r>
      <w:proofErr w:type="spellStart"/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>podría</w:t>
      </w:r>
      <w:proofErr w:type="spellEnd"/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 xml:space="preserve"> agudizar hechos de violencia.</w:t>
      </w:r>
    </w:p>
    <w:p w14:paraId="1052BC9F" w14:textId="77777777" w:rsidR="00D800E5" w:rsidRPr="00D800E5" w:rsidRDefault="00D800E5" w:rsidP="00D800E5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</w:pPr>
      <w:proofErr w:type="spellStart"/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>Sitionuevo</w:t>
      </w:r>
      <w:proofErr w:type="spellEnd"/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 xml:space="preserve"> es considerado un sitio estratégico que articula la Sierra Nevada de Santa Marta, el río Magdalena y el mar Caribe, facilitando el desarrollo de economías ilícitas y el tránsito de estupefacientes.</w:t>
      </w:r>
    </w:p>
    <w:p w14:paraId="511AE4D8" w14:textId="77777777" w:rsidR="00D800E5" w:rsidRPr="00D800E5" w:rsidRDefault="00D800E5" w:rsidP="00D800E5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</w:pPr>
      <w:r w:rsidRPr="00D800E5">
        <w:rPr>
          <w:rFonts w:ascii="Segoe UI" w:eastAsia="Times New Roman" w:hAnsi="Segoe UI" w:cs="Segoe UI"/>
          <w:b/>
          <w:bCs/>
          <w:color w:val="272833"/>
          <w:kern w:val="0"/>
          <w:lang w:eastAsia="es-UY"/>
          <w14:ligatures w14:val="none"/>
        </w:rPr>
        <w:t>Antecedentes de violencia</w:t>
      </w:r>
    </w:p>
    <w:p w14:paraId="0FCA1E72" w14:textId="77777777" w:rsidR="00D800E5" w:rsidRPr="00D800E5" w:rsidRDefault="00D800E5" w:rsidP="00D800E5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</w:pPr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 xml:space="preserve">La Defensoría alerta sobre la materialización de graves consecuencias humanitarias en el territorio, pues este año ha documentado homicidios con sevicia, desapariciones forzadas y ataques armados. Especial preocupación le genera la reciente masacre ocurrida en el corregimiento Palmira (de </w:t>
      </w:r>
      <w:proofErr w:type="spellStart"/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>Puebloviejo</w:t>
      </w:r>
      <w:proofErr w:type="spellEnd"/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>, Magdalena), donde varias de las víctimas eran oriundas de Nueva Venecia, lo que evidencia la interconexión de la violencia en el complejo lagunar. </w:t>
      </w:r>
    </w:p>
    <w:p w14:paraId="57FEA513" w14:textId="77777777" w:rsidR="00D800E5" w:rsidRPr="00D800E5" w:rsidRDefault="00D800E5" w:rsidP="00D800E5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</w:pPr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>De no haber intervención estatal, se prevé un incremento de masacres, desplazamientos forzados y confinamientos.</w:t>
      </w:r>
    </w:p>
    <w:p w14:paraId="5F0FA371" w14:textId="77777777" w:rsidR="00D800E5" w:rsidRPr="00D800E5" w:rsidRDefault="00D800E5" w:rsidP="00D800E5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</w:pPr>
      <w:r w:rsidRPr="00D800E5">
        <w:rPr>
          <w:rFonts w:ascii="Segoe UI" w:eastAsia="Times New Roman" w:hAnsi="Segoe UI" w:cs="Segoe UI"/>
          <w:b/>
          <w:bCs/>
          <w:color w:val="272833"/>
          <w:kern w:val="0"/>
          <w:lang w:eastAsia="es-UY"/>
          <w14:ligatures w14:val="none"/>
        </w:rPr>
        <w:t>Imposición de normas</w:t>
      </w:r>
    </w:p>
    <w:p w14:paraId="75FE0236" w14:textId="77777777" w:rsidR="00D800E5" w:rsidRPr="00D800E5" w:rsidRDefault="00D800E5" w:rsidP="00D800E5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</w:pPr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>Los grupos armados ilegales están ejerciendo una fuerte gobernanza armada sobre la población civil. Esto se manifiesta mediante la imposición de normas de comportamiento, restricciones a la movilidad fluvial, la realización de reuniones coercitivas y la exigencia sistemática de extorsiones a pescadores, mujeres y hombres comerciantes y personas operadoras turísticas. Incluso, la Defensoría, a través de su Sistema de Alertas Tempranas, ha identificado el uso sofisticado de tecnologías como drones para el control territorial y la utilización forzada de la población local para actividades logísticas armadas.</w:t>
      </w:r>
    </w:p>
    <w:p w14:paraId="2CA7BB7E" w14:textId="77777777" w:rsidR="00D800E5" w:rsidRPr="00D800E5" w:rsidRDefault="00D800E5" w:rsidP="00D800E5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</w:pPr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>Adicionalmente, ha documentado graves afectaciones al mínimo vital de las comunidades, pues los actores armados ilegales han expulsado a pescadores de sus zonas tradicionales de faena y prohibido el acceso a cuerpos de agua estratégicos, impactando directamente la seguridad alimentaria de la cultura anfibia. Asimismo, la instrumentalización de infraestructuras comunitarias para el almacenamiento de armas y expendio de estupefacientes debilita el tejido social.</w:t>
      </w:r>
    </w:p>
    <w:p w14:paraId="39D09D93" w14:textId="77777777" w:rsidR="00D800E5" w:rsidRPr="00D800E5" w:rsidRDefault="00D800E5" w:rsidP="00D800E5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</w:pPr>
      <w:r w:rsidRPr="00D800E5">
        <w:rPr>
          <w:rFonts w:ascii="Segoe UI" w:eastAsia="Times New Roman" w:hAnsi="Segoe UI" w:cs="Segoe UI"/>
          <w:b/>
          <w:bCs/>
          <w:color w:val="272833"/>
          <w:kern w:val="0"/>
          <w:lang w:eastAsia="es-UY"/>
          <w14:ligatures w14:val="none"/>
        </w:rPr>
        <w:t>Riesgo para grupos poblacionales</w:t>
      </w:r>
    </w:p>
    <w:p w14:paraId="1339F136" w14:textId="77777777" w:rsidR="00D800E5" w:rsidRPr="00D800E5" w:rsidRDefault="00D800E5" w:rsidP="00D800E5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</w:pPr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lastRenderedPageBreak/>
        <w:t>El riesgo es especialmente alto para niñas, niños, adolescentes y jóvenes (NNAJ), quienes enfrentan dinámicas de vinculación forzada y cooptación incentivadas por la precariedad socioeconómica y la falta de oportunidades. </w:t>
      </w:r>
    </w:p>
    <w:p w14:paraId="30E7722B" w14:textId="77777777" w:rsidR="00D800E5" w:rsidRPr="00D800E5" w:rsidRDefault="00D800E5" w:rsidP="00D800E5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</w:pPr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>También están en particular vulnerabilidad los liderazgos sociales y comunales, víctimas de señalamientos y amenazas, así como las comunidades palafíticas cuyo aislamiento geográfico limita su acceso a mecanismos de protección institucional.</w:t>
      </w:r>
    </w:p>
    <w:p w14:paraId="3A13B563" w14:textId="77777777" w:rsidR="00D800E5" w:rsidRPr="00D800E5" w:rsidRDefault="00D800E5" w:rsidP="00D800E5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</w:pPr>
      <w:r w:rsidRPr="00D800E5">
        <w:rPr>
          <w:rFonts w:ascii="Segoe UI" w:eastAsia="Times New Roman" w:hAnsi="Segoe UI" w:cs="Segoe UI"/>
          <w:b/>
          <w:bCs/>
          <w:color w:val="272833"/>
          <w:kern w:val="0"/>
          <w:lang w:eastAsia="es-UY"/>
          <w14:ligatures w14:val="none"/>
        </w:rPr>
        <w:t>Urgen acciones</w:t>
      </w:r>
    </w:p>
    <w:p w14:paraId="212261AC" w14:textId="77777777" w:rsidR="00D800E5" w:rsidRPr="00D800E5" w:rsidRDefault="00D800E5" w:rsidP="00D800E5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</w:pPr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>Ante este panorama de riesgo inminente, la Defensoría del Pueblo formuló 15 recomendaciones urgentes a entidades del orden nacional y territorial, como el Ministerio del Interior [con la participación de la Comisión Intersectorial para la Respuesta Rápida a las Alertas Tempranas (</w:t>
      </w:r>
      <w:proofErr w:type="spellStart"/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>Ciprat</w:t>
      </w:r>
      <w:proofErr w:type="spellEnd"/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>)] para coordinar la respuesta rápida, la Armada Nacional y la Policía Nacional para aumentar las acciones de disuasión en corredores fluviales y lagunares, y la Fiscalía General de la Nación para el esclarecimiento de homicidios. </w:t>
      </w:r>
    </w:p>
    <w:p w14:paraId="3F09BAA2" w14:textId="77777777" w:rsidR="00D800E5" w:rsidRPr="00D800E5" w:rsidRDefault="00D800E5" w:rsidP="00D800E5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</w:pPr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>Las recomendaciones también están dirigidas al Instituto Colombiano de Bienestar Familiar (ICBF) y la Unidad Nacional de Protección (UNP), con el propósito de que activen rutas de prevención y protección diferencial. </w:t>
      </w:r>
    </w:p>
    <w:p w14:paraId="7349A6B3" w14:textId="77777777" w:rsidR="00D800E5" w:rsidRPr="00D800E5" w:rsidRDefault="00D800E5" w:rsidP="00D800E5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</w:pPr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 xml:space="preserve">El Estado debe actuar bajo un enfoque de seguridad humana para salvaguardar la vida y la integridad de los habitantes de </w:t>
      </w:r>
      <w:proofErr w:type="spellStart"/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>Sitionuevo</w:t>
      </w:r>
      <w:proofErr w:type="spellEnd"/>
      <w:r w:rsidRPr="00D800E5"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  <w:t>.</w:t>
      </w:r>
    </w:p>
    <w:p w14:paraId="6B8D16AA" w14:textId="77777777" w:rsidR="00D800E5" w:rsidRPr="00D800E5" w:rsidRDefault="00D800E5" w:rsidP="00D800E5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72833"/>
          <w:kern w:val="0"/>
          <w:lang w:eastAsia="es-UY"/>
          <w14:ligatures w14:val="none"/>
        </w:rPr>
      </w:pPr>
      <w:r w:rsidRPr="00D800E5">
        <w:rPr>
          <w:rFonts w:ascii="Segoe UI" w:eastAsia="Times New Roman" w:hAnsi="Segoe UI" w:cs="Segoe UI"/>
          <w:b/>
          <w:bCs/>
          <w:color w:val="272833"/>
          <w:kern w:val="0"/>
          <w:lang w:eastAsia="es-UY"/>
          <w14:ligatures w14:val="none"/>
        </w:rPr>
        <w:t>Las Alertas Tempranas son preventivas, no predictivas, y su propósito es salvaguardar la vida, la libertad y la integridad de las comunidades. </w:t>
      </w:r>
    </w:p>
    <w:p w14:paraId="07D8BF8B" w14:textId="77777777" w:rsidR="00D800E5" w:rsidRDefault="00D800E5"/>
    <w:p w14:paraId="21784EAA" w14:textId="77777777" w:rsidR="00D800E5" w:rsidRDefault="00D800E5"/>
    <w:p w14:paraId="005DA745" w14:textId="2A782162" w:rsidR="00D800E5" w:rsidRDefault="00D800E5">
      <w:hyperlink r:id="rId6" w:history="1">
        <w:r w:rsidRPr="00F27931">
          <w:rPr>
            <w:rStyle w:val="Hipervnculo"/>
          </w:rPr>
          <w:t>https://www.defensoria.gov.co/-/sitionuevo-magdalena-requiere-acciones-urgentes-de-la-institucionalidad-que-salvaguarden-la-vida-y-seguridad-de-sus-habitantes</w:t>
        </w:r>
      </w:hyperlink>
    </w:p>
    <w:p w14:paraId="542353E2" w14:textId="77777777" w:rsidR="00D800E5" w:rsidRDefault="00D800E5"/>
    <w:sectPr w:rsidR="00D800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E91717"/>
    <w:multiLevelType w:val="multilevel"/>
    <w:tmpl w:val="1704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4692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0E5"/>
    <w:rsid w:val="009A4BE9"/>
    <w:rsid w:val="00D80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E359E"/>
  <w15:chartTrackingRefBased/>
  <w15:docId w15:val="{DD1A8789-A47D-4A77-8F27-25BFBAD1F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800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800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800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800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800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800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800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800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800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800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800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800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800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800E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800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800E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800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800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800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800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800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800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800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800E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800E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800E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800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800E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800E5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800E5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800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efensoria.gov.co/-/sitionuevo-magdalena-requiere-acciones-urgentes-de-la-institucionalidad-que-salvaguarden-la-vida-y-seguridad-de-sus-habitante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836</Words>
  <Characters>4602</Characters>
  <Application>Microsoft Office Word</Application>
  <DocSecurity>0</DocSecurity>
  <Lines>38</Lines>
  <Paragraphs>10</Paragraphs>
  <ScaleCrop>false</ScaleCrop>
  <Company/>
  <LinksUpToDate>false</LinksUpToDate>
  <CharactersWithSpaces>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2026-07-09T18:13:00Z</dcterms:created>
  <dcterms:modified xsi:type="dcterms:W3CDTF">2026-07-09T18:14:00Z</dcterms:modified>
</cp:coreProperties>
</file>