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3023D" w14:textId="77777777" w:rsidR="006A660A" w:rsidRPr="006A660A" w:rsidRDefault="006A660A" w:rsidP="006A660A">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b/>
          <w:bCs/>
          <w:i/>
          <w:iCs/>
          <w:color w:val="000000"/>
          <w:kern w:val="0"/>
          <w:sz w:val="36"/>
          <w:szCs w:val="36"/>
          <w:lang w:eastAsia="es-UY"/>
          <w14:ligatures w14:val="none"/>
        </w:rPr>
        <w:t>“Crees, luego no existes” (Jaap)</w:t>
      </w:r>
    </w:p>
    <w:p w14:paraId="6B798280" w14:textId="77777777" w:rsidR="006A660A" w:rsidRPr="006A660A" w:rsidRDefault="006A660A" w:rsidP="006A660A">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i/>
          <w:iCs/>
          <w:color w:val="000000"/>
          <w:kern w:val="0"/>
          <w:sz w:val="27"/>
          <w:szCs w:val="27"/>
          <w:lang w:eastAsia="es-UY"/>
          <w14:ligatures w14:val="none"/>
        </w:rPr>
        <w:t>Eduardo de la Serna</w:t>
      </w:r>
    </w:p>
    <w:p w14:paraId="2F904603" w14:textId="77777777" w:rsidR="006A660A" w:rsidRPr="006A660A" w:rsidRDefault="006A660A" w:rsidP="006A660A">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4CDABA7B" w14:textId="77777777" w:rsidR="006A660A" w:rsidRPr="006A660A" w:rsidRDefault="006A660A" w:rsidP="006A660A">
      <w:pPr>
        <w:shd w:val="clear" w:color="auto" w:fill="FFFFFF"/>
        <w:spacing w:after="0" w:line="240" w:lineRule="auto"/>
        <w:jc w:val="center"/>
        <w:rPr>
          <w:rFonts w:ascii="Arial" w:eastAsia="Times New Roman" w:hAnsi="Arial" w:cs="Arial"/>
          <w:color w:val="222222"/>
          <w:kern w:val="0"/>
          <w:lang w:eastAsia="es-UY"/>
          <w14:ligatures w14:val="none"/>
        </w:rPr>
      </w:pPr>
      <w:r w:rsidRPr="006A660A">
        <w:rPr>
          <w:rFonts w:ascii="Arial" w:eastAsia="Times New Roman" w:hAnsi="Arial" w:cs="Arial"/>
          <w:noProof/>
          <w:color w:val="1155CC"/>
          <w:kern w:val="0"/>
          <w:sz w:val="27"/>
          <w:szCs w:val="27"/>
          <w:lang w:eastAsia="es-UY"/>
          <w14:ligatures w14:val="none"/>
        </w:rPr>
        <w:drawing>
          <wp:inline distT="0" distB="0" distL="0" distR="0" wp14:anchorId="3B709A85" wp14:editId="69E4A77F">
            <wp:extent cx="3810000" cy="2216150"/>
            <wp:effectExtent l="0" t="0" r="0" b="0"/>
            <wp:docPr id="2"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216150"/>
                    </a:xfrm>
                    <a:prstGeom prst="rect">
                      <a:avLst/>
                    </a:prstGeom>
                    <a:noFill/>
                    <a:ln>
                      <a:noFill/>
                    </a:ln>
                  </pic:spPr>
                </pic:pic>
              </a:graphicData>
            </a:graphic>
          </wp:inline>
        </w:drawing>
      </w:r>
    </w:p>
    <w:p w14:paraId="7E30CEE8" w14:textId="77777777" w:rsidR="006A660A" w:rsidRPr="006A660A" w:rsidRDefault="006A660A" w:rsidP="006A660A">
      <w:pPr>
        <w:shd w:val="clear" w:color="auto" w:fill="FFFFFF"/>
        <w:spacing w:after="0" w:line="240" w:lineRule="auto"/>
        <w:jc w:val="both"/>
        <w:rPr>
          <w:rFonts w:ascii="Arial" w:eastAsia="Times New Roman" w:hAnsi="Arial" w:cs="Arial"/>
          <w:color w:val="000000"/>
          <w:kern w:val="0"/>
          <w:sz w:val="27"/>
          <w:szCs w:val="27"/>
          <w:lang w:eastAsia="es-UY"/>
          <w14:ligatures w14:val="none"/>
        </w:rPr>
      </w:pPr>
    </w:p>
    <w:p w14:paraId="317E8C66" w14:textId="77777777" w:rsidR="006A660A" w:rsidRPr="006A660A" w:rsidRDefault="006A660A" w:rsidP="006A660A">
      <w:pPr>
        <w:shd w:val="clear" w:color="auto" w:fill="FFFFFF"/>
        <w:spacing w:after="0" w:line="240" w:lineRule="auto"/>
        <w:jc w:val="both"/>
        <w:rPr>
          <w:rFonts w:ascii="Arial" w:eastAsia="Times New Roman" w:hAnsi="Arial" w:cs="Arial"/>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 xml:space="preserve">Mirando la consulta que Simone Weil le hace en 1942 al religioso y teólogo, Jean Courturier </w:t>
      </w:r>
      <w:proofErr w:type="spellStart"/>
      <w:r w:rsidRPr="006A660A">
        <w:rPr>
          <w:rFonts w:ascii="Arial" w:eastAsia="Times New Roman" w:hAnsi="Arial" w:cs="Arial"/>
          <w:color w:val="000000"/>
          <w:kern w:val="0"/>
          <w:sz w:val="27"/>
          <w:szCs w:val="27"/>
          <w:lang w:eastAsia="es-UY"/>
          <w14:ligatures w14:val="none"/>
        </w:rPr>
        <w:t>op</w:t>
      </w:r>
      <w:proofErr w:type="spellEnd"/>
      <w:r w:rsidRPr="006A660A">
        <w:rPr>
          <w:rFonts w:ascii="Arial" w:eastAsia="Times New Roman" w:hAnsi="Arial" w:cs="Arial"/>
          <w:color w:val="000000"/>
          <w:kern w:val="0"/>
          <w:sz w:val="27"/>
          <w:szCs w:val="27"/>
          <w:lang w:eastAsia="es-UY"/>
          <w14:ligatures w14:val="none"/>
        </w:rPr>
        <w:t>., – consulta que, lamentablemente, él no respondió – me resulta fascinante ubicarla en su contexto. Ella le formula 35 extensas cuestiones, cada una de ellas bien desarrolladas:</w:t>
      </w:r>
    </w:p>
    <w:p w14:paraId="5EDCF11B" w14:textId="77777777" w:rsidR="006A660A" w:rsidRPr="006A660A" w:rsidRDefault="006A660A" w:rsidP="006A660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 Cuando leo el catecismo del concilio de Trento, me da la impresión de que no tengo nada en común con la religión que en él se expone. Cuando leo el Nuevo Testamento, los místicos, la liturgia, cuando veo celebrar la misa, siento con alguna forma de certeza que esa fe es la mía o, más exactamente, que sería la mía sin la distancia que entre ella y yo pone mi imperfección. Esto hace penosa la situación espiritual, me gustaría que esta fuera no menos penosa pero sí más clara. Cualquier sufrimiento es aceptable en la claridad.</w:t>
      </w:r>
    </w:p>
    <w:p w14:paraId="5D1A80A8" w14:textId="77777777" w:rsidR="006A660A" w:rsidRPr="006A660A" w:rsidRDefault="006A660A" w:rsidP="006A660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5CC6A3CB"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Y comienza:</w:t>
      </w:r>
    </w:p>
    <w:p w14:paraId="4B8678C3"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0D3BEC4" w14:textId="77777777" w:rsidR="006A660A" w:rsidRPr="006A660A" w:rsidRDefault="006A660A" w:rsidP="006A660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Voy a enumerarle cierto número de pensamientos que habitan en mí desde hace años o al menos algunos.... Le pido una respuesta firme sobre la compatibilidad o incompatibilidad de cada una de estas opiniones con la pertenencia a la iglesia.</w:t>
      </w:r>
    </w:p>
    <w:p w14:paraId="564A0439" w14:textId="77777777" w:rsidR="006A660A" w:rsidRPr="006A660A" w:rsidRDefault="006A660A" w:rsidP="006A660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7090E030"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Y finaliza todo su extenso interrogatorio diciendo:</w:t>
      </w:r>
    </w:p>
    <w:p w14:paraId="00F582CF"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5A7EBEE" w14:textId="77777777" w:rsidR="006A660A" w:rsidRPr="006A660A" w:rsidRDefault="006A660A" w:rsidP="006A660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Estos problemas son hoy de </w:t>
      </w:r>
      <w:r w:rsidRPr="006A660A">
        <w:rPr>
          <w:rFonts w:ascii="Arial" w:eastAsia="Times New Roman" w:hAnsi="Arial" w:cs="Arial"/>
          <w:i/>
          <w:iCs/>
          <w:color w:val="000000"/>
          <w:kern w:val="0"/>
          <w:sz w:val="27"/>
          <w:szCs w:val="27"/>
          <w:lang w:eastAsia="es-UY"/>
          <w14:ligatures w14:val="none"/>
        </w:rPr>
        <w:t>una importancia capital, urgente y práctica</w:t>
      </w:r>
      <w:r w:rsidRPr="006A660A">
        <w:rPr>
          <w:rFonts w:ascii="Arial" w:eastAsia="Times New Roman" w:hAnsi="Arial" w:cs="Arial"/>
          <w:color w:val="000000"/>
          <w:kern w:val="0"/>
          <w:sz w:val="27"/>
          <w:szCs w:val="27"/>
          <w:lang w:eastAsia="es-UY"/>
          <w14:ligatures w14:val="none"/>
        </w:rPr>
        <w:t xml:space="preserve">. Pues como toda la vida profana de nuestros países viene directamente de civilizaciones “paganas”, mientras subsista la ilusión de un corte entre el llamado paganismo y el cristianismo, este no será encarnado, no impregnará toda la vida profana como </w:t>
      </w:r>
      <w:r w:rsidRPr="006A660A">
        <w:rPr>
          <w:rFonts w:ascii="Arial" w:eastAsia="Times New Roman" w:hAnsi="Arial" w:cs="Arial"/>
          <w:color w:val="000000"/>
          <w:kern w:val="0"/>
          <w:sz w:val="27"/>
          <w:szCs w:val="27"/>
          <w:lang w:eastAsia="es-UY"/>
          <w14:ligatures w14:val="none"/>
        </w:rPr>
        <w:lastRenderedPageBreak/>
        <w:t>debiera, quedará separado y, en consecuencia, no activo. ¡Cuánto cambiaría nuestra vida si se viera que la geometría griega y la fe cristiana han brotado de la misma fuente!</w:t>
      </w:r>
    </w:p>
    <w:p w14:paraId="7612F428" w14:textId="77777777" w:rsidR="006A660A" w:rsidRPr="006A660A" w:rsidRDefault="006A660A" w:rsidP="006A660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502DA102"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Lo que me importa señalar aquí es que Simone es absolutamente coherente (y con la hondura y seriedad que la caracterizó toda su vida) con el planteo de su tiempo en lo que se ha llamado la </w:t>
      </w:r>
      <w:proofErr w:type="spellStart"/>
      <w:r w:rsidRPr="006A660A">
        <w:rPr>
          <w:rFonts w:ascii="Arial" w:eastAsia="Times New Roman" w:hAnsi="Arial" w:cs="Arial"/>
          <w:i/>
          <w:iCs/>
          <w:color w:val="000000"/>
          <w:kern w:val="0"/>
          <w:sz w:val="27"/>
          <w:szCs w:val="27"/>
          <w:lang w:eastAsia="es-UY"/>
          <w14:ligatures w14:val="none"/>
        </w:rPr>
        <w:t>Religionsgeschichte</w:t>
      </w:r>
      <w:proofErr w:type="spellEnd"/>
      <w:r w:rsidRPr="006A660A">
        <w:rPr>
          <w:rFonts w:ascii="Arial" w:eastAsia="Times New Roman" w:hAnsi="Arial" w:cs="Arial"/>
          <w:color w:val="000000"/>
          <w:kern w:val="0"/>
          <w:sz w:val="27"/>
          <w:szCs w:val="27"/>
          <w:lang w:eastAsia="es-UY"/>
          <w14:ligatures w14:val="none"/>
        </w:rPr>
        <w:t>, la Escuela de la historia de la Religión (corriente particularmente vigente desde fines del s. XIX hasta la Segunda gran Guerra). Es decir, entender (desde una cierta lectura enciclopédica) el cristianismo en coherencia o sintonía con lo que se fue descubriendo de las antiguas religiones y pensamientos filosóficos… Ciertamente, hoy hay nuevos elementos para dar respuesta a sus planteos que no los había entonces, pero nada más razonable, en su tiempo, que formularlos, particularmente desde su particular conocimiento de la filosofía griega.</w:t>
      </w:r>
    </w:p>
    <w:p w14:paraId="0186BAF3"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8BE9B00"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Pero lo que me interesa – en paralelo con esto – precisamente por la coherencia con el pensamiento propio de su tiempo, es el conflicto de Etty Hillesum con su hermano Jaap (con quien no tenía una buena relación), el cual era médico. Dice Etty en su diario:</w:t>
      </w:r>
    </w:p>
    <w:p w14:paraId="334D149C"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2F1C8033" w14:textId="77777777" w:rsidR="006A660A" w:rsidRPr="006A660A" w:rsidRDefault="006A660A" w:rsidP="006A660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En una ocasión, durante una fase enfermiza, me escribió en el encabezamiento de una carta: «</w:t>
      </w:r>
      <w:r w:rsidRPr="006A660A">
        <w:rPr>
          <w:rFonts w:ascii="Arial" w:eastAsia="Times New Roman" w:hAnsi="Arial" w:cs="Arial"/>
          <w:i/>
          <w:iCs/>
          <w:color w:val="000000"/>
          <w:kern w:val="0"/>
          <w:sz w:val="27"/>
          <w:szCs w:val="27"/>
          <w:lang w:eastAsia="es-UY"/>
          <w14:ligatures w14:val="none"/>
        </w:rPr>
        <w:t xml:space="preserve">Cogito, ergo sum. </w:t>
      </w:r>
      <w:proofErr w:type="spellStart"/>
      <w:r w:rsidRPr="006A660A">
        <w:rPr>
          <w:rFonts w:ascii="Arial" w:eastAsia="Times New Roman" w:hAnsi="Arial" w:cs="Arial"/>
          <w:i/>
          <w:iCs/>
          <w:color w:val="000000"/>
          <w:kern w:val="0"/>
          <w:sz w:val="27"/>
          <w:szCs w:val="27"/>
          <w:lang w:eastAsia="es-UY"/>
          <w14:ligatures w14:val="none"/>
        </w:rPr>
        <w:t>Credis</w:t>
      </w:r>
      <w:proofErr w:type="spellEnd"/>
      <w:r w:rsidRPr="006A660A">
        <w:rPr>
          <w:rFonts w:ascii="Arial" w:eastAsia="Times New Roman" w:hAnsi="Arial" w:cs="Arial"/>
          <w:i/>
          <w:iCs/>
          <w:color w:val="000000"/>
          <w:kern w:val="0"/>
          <w:sz w:val="27"/>
          <w:szCs w:val="27"/>
          <w:lang w:eastAsia="es-UY"/>
          <w14:ligatures w14:val="none"/>
        </w:rPr>
        <w:t>, ergo non es</w:t>
      </w:r>
      <w:r w:rsidRPr="006A660A">
        <w:rPr>
          <w:rFonts w:ascii="Arial" w:eastAsia="Times New Roman" w:hAnsi="Arial" w:cs="Arial"/>
          <w:color w:val="000000"/>
          <w:kern w:val="0"/>
          <w:sz w:val="27"/>
          <w:szCs w:val="27"/>
          <w:lang w:eastAsia="es-UY"/>
          <w14:ligatures w14:val="none"/>
        </w:rPr>
        <w:t>» Y creo que hoy en día, esta sigue siendo la contradicción entre nosotros, que, seguramente resulta insalvable (30 de octubre 1941)</w:t>
      </w:r>
    </w:p>
    <w:p w14:paraId="736EE659" w14:textId="77777777" w:rsidR="006A660A" w:rsidRPr="006A660A" w:rsidRDefault="006A660A" w:rsidP="006A660A">
      <w:pPr>
        <w:shd w:val="clear" w:color="auto" w:fill="FFFFFF"/>
        <w:spacing w:after="0" w:line="240" w:lineRule="auto"/>
        <w:ind w:left="708"/>
        <w:jc w:val="both"/>
        <w:rPr>
          <w:rFonts w:ascii="Times New Roman" w:eastAsia="Times New Roman" w:hAnsi="Times New Roman" w:cs="Times New Roman"/>
          <w:color w:val="000000"/>
          <w:kern w:val="0"/>
          <w:sz w:val="27"/>
          <w:szCs w:val="27"/>
          <w:lang w:eastAsia="es-UY"/>
          <w14:ligatures w14:val="none"/>
        </w:rPr>
      </w:pPr>
    </w:p>
    <w:p w14:paraId="0087E746"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Y creo que el pensamiento de Jaap (pienso, luego existo; crees, luego no eres) es expresión – particularmente en ciertos ambientes – del sentir de su tiempo. Creer es algo propio de mentes ignorantes, de “la fe del carbonero” ... el conflicto “insalvable” – se decía – entre “fe y ciencia” lleva a entender que creer en Dios es propio de mentes primitivas.</w:t>
      </w:r>
    </w:p>
    <w:p w14:paraId="78C018C1"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7C82AA62"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 xml:space="preserve">Ciertamente, en la actualidad, en la que la ciencia ha aprendido a ser más humilde, y los “dogmas” menos clausurados en la letra, mucho de esto ha aprendido a entrar en diálogo. Me resulta curioso – debo reconocerlo – que en algunos ambientes ilustrados, y pienso particularmente en la izquierda argentina (no en el resto de América Latina en general), que pareciera que se han quedado en tiempos idos, y les resultaría incomprensible entender aquello de que mis hermanos “todos son comunistas con el favor de mi Dios” (Violeta Parra), por no aludir a “Líbranos de aquel que nos domina/ en la miseria/ Tráenos tu reino de justicia/ e igualdad” de Víctor Jara, o “¿Dónde pongo lo </w:t>
      </w:r>
      <w:r w:rsidRPr="006A660A">
        <w:rPr>
          <w:rFonts w:ascii="Arial" w:eastAsia="Times New Roman" w:hAnsi="Arial" w:cs="Arial"/>
          <w:color w:val="000000"/>
          <w:kern w:val="0"/>
          <w:sz w:val="27"/>
          <w:szCs w:val="27"/>
          <w:lang w:eastAsia="es-UY"/>
          <w14:ligatures w14:val="none"/>
        </w:rPr>
        <w:lastRenderedPageBreak/>
        <w:t>hallado?/ en la tierra, en tu nombre,/ en la Biblia, en el día/ que al fin te he encontrado” de Silvio Rodríguez. Y no se entienda que me refiero a que ellos sean cristianos, sino simplemente a que no tienen una militancia tipo “</w:t>
      </w:r>
      <w:r w:rsidRPr="006A660A">
        <w:rPr>
          <w:rFonts w:ascii="Arial" w:eastAsia="Times New Roman" w:hAnsi="Arial" w:cs="Arial"/>
          <w:i/>
          <w:iCs/>
          <w:color w:val="000000"/>
          <w:kern w:val="0"/>
          <w:sz w:val="27"/>
          <w:szCs w:val="27"/>
          <w:lang w:eastAsia="es-UY"/>
          <w14:ligatures w14:val="none"/>
        </w:rPr>
        <w:t>ergo non es</w:t>
      </w:r>
      <w:r w:rsidRPr="006A660A">
        <w:rPr>
          <w:rFonts w:ascii="Arial" w:eastAsia="Times New Roman" w:hAnsi="Arial" w:cs="Arial"/>
          <w:color w:val="000000"/>
          <w:kern w:val="0"/>
          <w:sz w:val="27"/>
          <w:szCs w:val="27"/>
          <w:lang w:eastAsia="es-UY"/>
          <w14:ligatures w14:val="none"/>
        </w:rPr>
        <w:t>”, sencillamente.</w:t>
      </w:r>
    </w:p>
    <w:p w14:paraId="3BCF6A29"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1F288AC7"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Las puertas abiertas dentro de la Iglesia católica romana, por el Concilio Vaticano II (puertas que, desde entonces, tantos intentan volver a cerrar, y con cerrojos varios, para más “seguridades”) supieron poner al pensamiento en diálogo con la ciencia, la cual ya no era vista como enemiga, sino como compañera de camino. Camino siempre desafiante, camino siempre con nuevas preguntas, camino con crisis y encuentros… caminos, ¡simplemente! Eso no implica que de un lado u otro de la fe o de la ciencia no surjan, cada tanto, falsas seguridades que miren al otro como un “</w:t>
      </w:r>
      <w:r w:rsidRPr="006A660A">
        <w:rPr>
          <w:rFonts w:ascii="Arial" w:eastAsia="Times New Roman" w:hAnsi="Arial" w:cs="Arial"/>
          <w:i/>
          <w:iCs/>
          <w:color w:val="000000"/>
          <w:kern w:val="0"/>
          <w:sz w:val="27"/>
          <w:szCs w:val="27"/>
          <w:lang w:eastAsia="es-UY"/>
          <w14:ligatures w14:val="none"/>
        </w:rPr>
        <w:t>non es</w:t>
      </w:r>
      <w:r w:rsidRPr="006A660A">
        <w:rPr>
          <w:rFonts w:ascii="Arial" w:eastAsia="Times New Roman" w:hAnsi="Arial" w:cs="Arial"/>
          <w:color w:val="000000"/>
          <w:kern w:val="0"/>
          <w:sz w:val="27"/>
          <w:szCs w:val="27"/>
          <w:lang w:eastAsia="es-UY"/>
          <w14:ligatures w14:val="none"/>
        </w:rPr>
        <w:t>” olvidando sistemáticamente, que lo primero que nos constituye a unos y otros es formular preguntas y no atarse demasiado a certezas que la vida misma se ocupa de hacer tambalear. Simone se formulaba preguntas, y vivió con ellas, aunque le resultara “penoso”, pero sabiendo que “cualquier sufrimiento es aceptable en la claridad”. Etty fue encontrando a Dios hasta llegar a decir: “</w:t>
      </w:r>
      <w:r w:rsidRPr="006A660A">
        <w:rPr>
          <w:rFonts w:ascii="Arial" w:eastAsia="Times New Roman" w:hAnsi="Arial" w:cs="Arial"/>
          <w:color w:val="000000"/>
          <w:kern w:val="0"/>
          <w:sz w:val="27"/>
          <w:szCs w:val="27"/>
          <w:lang w:val="es-ES" w:eastAsia="es-UY"/>
          <w14:ligatures w14:val="none"/>
        </w:rPr>
        <w:t xml:space="preserve">Voy a leer de nuevo a San Agustín. Es </w:t>
      </w:r>
      <w:proofErr w:type="gramStart"/>
      <w:r w:rsidRPr="006A660A">
        <w:rPr>
          <w:rFonts w:ascii="Arial" w:eastAsia="Times New Roman" w:hAnsi="Arial" w:cs="Arial"/>
          <w:color w:val="000000"/>
          <w:kern w:val="0"/>
          <w:sz w:val="27"/>
          <w:szCs w:val="27"/>
          <w:lang w:val="es-ES" w:eastAsia="es-UY"/>
          <w14:ligatures w14:val="none"/>
        </w:rPr>
        <w:t>tan austero y tan ferviente</w:t>
      </w:r>
      <w:proofErr w:type="gramEnd"/>
      <w:r w:rsidRPr="006A660A">
        <w:rPr>
          <w:rFonts w:ascii="Arial" w:eastAsia="Times New Roman" w:hAnsi="Arial" w:cs="Arial"/>
          <w:color w:val="000000"/>
          <w:kern w:val="0"/>
          <w:sz w:val="27"/>
          <w:szCs w:val="27"/>
          <w:lang w:val="es-ES" w:eastAsia="es-UY"/>
          <w14:ligatures w14:val="none"/>
        </w:rPr>
        <w:t>. Y tan lleno de sencilla devoción en sus cartas de amor a Dios. En verdad, esas son las únicas cartas de amor que uno debería escribir: cartas de amor a Dios” (9 de octubre 1942). Es comprensible, en su tiempo, la crítica de Jaap (y, quizás, la no respuesta del dominico a Simone), pero en nuestro tiempo, ambas místicas nos han dejado huellas para poder intuir hoy que también es sensato decir “</w:t>
      </w:r>
      <w:r w:rsidRPr="006A660A">
        <w:rPr>
          <w:rFonts w:ascii="Arial" w:eastAsia="Times New Roman" w:hAnsi="Arial" w:cs="Arial"/>
          <w:i/>
          <w:iCs/>
          <w:color w:val="000000"/>
          <w:kern w:val="0"/>
          <w:sz w:val="27"/>
          <w:szCs w:val="27"/>
          <w:lang w:val="es-ES" w:eastAsia="es-UY"/>
          <w14:ligatures w14:val="none"/>
        </w:rPr>
        <w:t>Credo, ergo sum</w:t>
      </w:r>
      <w:r w:rsidRPr="006A660A">
        <w:rPr>
          <w:rFonts w:ascii="Arial" w:eastAsia="Times New Roman" w:hAnsi="Arial" w:cs="Arial"/>
          <w:color w:val="000000"/>
          <w:kern w:val="0"/>
          <w:sz w:val="27"/>
          <w:szCs w:val="27"/>
          <w:lang w:val="es-ES" w:eastAsia="es-UY"/>
          <w14:ligatures w14:val="none"/>
        </w:rPr>
        <w:t>”.</w:t>
      </w:r>
    </w:p>
    <w:p w14:paraId="7160ACA3" w14:textId="77777777" w:rsidR="006A660A" w:rsidRPr="006A660A" w:rsidRDefault="006A660A" w:rsidP="006A660A">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6A660A">
        <w:rPr>
          <w:rFonts w:ascii="Arial" w:eastAsia="Times New Roman" w:hAnsi="Arial" w:cs="Arial"/>
          <w:color w:val="000000"/>
          <w:kern w:val="0"/>
          <w:sz w:val="27"/>
          <w:szCs w:val="27"/>
          <w:lang w:eastAsia="es-UY"/>
          <w14:ligatures w14:val="none"/>
        </w:rPr>
        <w:t> </w:t>
      </w:r>
    </w:p>
    <w:p w14:paraId="24CBD9D6" w14:textId="77777777" w:rsidR="006A660A" w:rsidRPr="006A660A" w:rsidRDefault="006A660A" w:rsidP="006A660A">
      <w:pPr>
        <w:shd w:val="clear" w:color="auto" w:fill="FFFFFF"/>
        <w:spacing w:after="0" w:line="240" w:lineRule="auto"/>
        <w:rPr>
          <w:rFonts w:ascii="Arial" w:eastAsia="Times New Roman" w:hAnsi="Arial" w:cs="Arial"/>
          <w:color w:val="222222"/>
          <w:kern w:val="0"/>
          <w:lang w:eastAsia="es-UY"/>
          <w14:ligatures w14:val="none"/>
        </w:rPr>
      </w:pPr>
    </w:p>
    <w:p w14:paraId="5FC4EF7C" w14:textId="77777777" w:rsidR="006A660A" w:rsidRDefault="006A660A"/>
    <w:sectPr w:rsidR="006A66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60A"/>
    <w:rsid w:val="006A660A"/>
    <w:rsid w:val="00932FF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E466F"/>
  <w15:chartTrackingRefBased/>
  <w15:docId w15:val="{AA419F0F-EA72-4A26-8F7B-8B2ABC02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6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6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660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660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660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660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660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660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660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660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660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660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660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660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660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660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660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660A"/>
    <w:rPr>
      <w:rFonts w:eastAsiaTheme="majorEastAsia" w:cstheme="majorBidi"/>
      <w:color w:val="272727" w:themeColor="text1" w:themeTint="D8"/>
    </w:rPr>
  </w:style>
  <w:style w:type="paragraph" w:styleId="Ttulo">
    <w:name w:val="Title"/>
    <w:basedOn w:val="Normal"/>
    <w:next w:val="Normal"/>
    <w:link w:val="TtuloCar"/>
    <w:uiPriority w:val="10"/>
    <w:qFormat/>
    <w:rsid w:val="006A6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660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660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660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660A"/>
    <w:pPr>
      <w:spacing w:before="160"/>
      <w:jc w:val="center"/>
    </w:pPr>
    <w:rPr>
      <w:i/>
      <w:iCs/>
      <w:color w:val="404040" w:themeColor="text1" w:themeTint="BF"/>
    </w:rPr>
  </w:style>
  <w:style w:type="character" w:customStyle="1" w:styleId="CitaCar">
    <w:name w:val="Cita Car"/>
    <w:basedOn w:val="Fuentedeprrafopredeter"/>
    <w:link w:val="Cita"/>
    <w:uiPriority w:val="29"/>
    <w:rsid w:val="006A660A"/>
    <w:rPr>
      <w:i/>
      <w:iCs/>
      <w:color w:val="404040" w:themeColor="text1" w:themeTint="BF"/>
    </w:rPr>
  </w:style>
  <w:style w:type="paragraph" w:styleId="Prrafodelista">
    <w:name w:val="List Paragraph"/>
    <w:basedOn w:val="Normal"/>
    <w:uiPriority w:val="34"/>
    <w:qFormat/>
    <w:rsid w:val="006A660A"/>
    <w:pPr>
      <w:ind w:left="720"/>
      <w:contextualSpacing/>
    </w:pPr>
  </w:style>
  <w:style w:type="character" w:styleId="nfasisintenso">
    <w:name w:val="Intense Emphasis"/>
    <w:basedOn w:val="Fuentedeprrafopredeter"/>
    <w:uiPriority w:val="21"/>
    <w:qFormat/>
    <w:rsid w:val="006A660A"/>
    <w:rPr>
      <w:i/>
      <w:iCs/>
      <w:color w:val="0F4761" w:themeColor="accent1" w:themeShade="BF"/>
    </w:rPr>
  </w:style>
  <w:style w:type="paragraph" w:styleId="Citadestacada">
    <w:name w:val="Intense Quote"/>
    <w:basedOn w:val="Normal"/>
    <w:next w:val="Normal"/>
    <w:link w:val="CitadestacadaCar"/>
    <w:uiPriority w:val="30"/>
    <w:qFormat/>
    <w:rsid w:val="006A6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660A"/>
    <w:rPr>
      <w:i/>
      <w:iCs/>
      <w:color w:val="0F4761" w:themeColor="accent1" w:themeShade="BF"/>
    </w:rPr>
  </w:style>
  <w:style w:type="character" w:styleId="Referenciaintensa">
    <w:name w:val="Intense Reference"/>
    <w:basedOn w:val="Fuentedeprrafopredeter"/>
    <w:uiPriority w:val="32"/>
    <w:qFormat/>
    <w:rsid w:val="006A66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blogger.googleusercontent.com/img/a/AVvXsEi1MXspi7o2OGRP-6W9P7q01hw4RWv_R9_jp6ybpi73SUijlwVqRIeOfrjB1od__rXjsn14QLqQLjcwXFnUWZM-6NlRVXF945LIo4l9CW1GPL15Hd7qDoP71ZGQKSb-NfRofN51p9rAN06oVfP3BHIUi6AUX2KacBEfqrfYhF7IU3EOE74sUmeZy5joVwk"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4810</Characters>
  <Application>Microsoft Office Word</Application>
  <DocSecurity>0</DocSecurity>
  <Lines>40</Lines>
  <Paragraphs>11</Paragraphs>
  <ScaleCrop>false</ScaleCrop>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2026-06-30T11:44:00Z</dcterms:created>
  <dcterms:modified xsi:type="dcterms:W3CDTF">2026-06-30T11:44:00Z</dcterms:modified>
</cp:coreProperties>
</file>