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568C8" w14:textId="77777777" w:rsidR="0098390B" w:rsidRPr="0098390B" w:rsidRDefault="0098390B" w:rsidP="0098390B">
      <w:pPr>
        <w:shd w:val="clear" w:color="auto" w:fill="FFFFFF"/>
        <w:spacing w:after="0" w:line="240" w:lineRule="auto"/>
        <w:jc w:val="both"/>
        <w:outlineLvl w:val="0"/>
        <w:rPr>
          <w:rFonts w:ascii="Arial" w:eastAsia="Times New Roman" w:hAnsi="Arial" w:cs="Arial"/>
          <w:b/>
          <w:bCs/>
          <w:color w:val="222222"/>
          <w:kern w:val="36"/>
          <w:sz w:val="48"/>
          <w:szCs w:val="48"/>
          <w:lang w:eastAsia="es-UY"/>
          <w14:ligatures w14:val="none"/>
        </w:rPr>
      </w:pPr>
      <w:r w:rsidRPr="0098390B">
        <w:rPr>
          <w:rFonts w:ascii="Arial" w:eastAsia="Times New Roman" w:hAnsi="Arial" w:cs="Arial"/>
          <w:b/>
          <w:bCs/>
          <w:color w:val="1F1F1F"/>
          <w:kern w:val="36"/>
          <w:sz w:val="46"/>
          <w:szCs w:val="46"/>
          <w:lang w:eastAsia="es-UY"/>
          <w14:ligatures w14:val="none"/>
        </w:rPr>
        <w:t>El acceso global a la electricidad se estanca y aleja los objetivos climáticos internacionales</w:t>
      </w:r>
    </w:p>
    <w:p w14:paraId="0FC1796B"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La crisis energética mundial ha frenado el avance hacia el acceso universal a la electricidad, consolidando una brecha estructural crítica. Según los últimos datos de la Organización Mundial de la Salud y organismos internacionales aliados, 655 millones de personas carecen de suministro eléctrico en todo el mundo. Este déficit no solo limita el desarrollo económico básico de las comunidades afectadas, sino que agrava las crisis sanitarias globales al forzar el uso de combustibles contaminantes para cocinar en millones de hogares vulnerables, bloqueando cualquier intento de transición ecológica equitativa.</w:t>
      </w:r>
    </w:p>
    <w:p w14:paraId="0C5BB4E9"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3537FEDD" w14:textId="77777777" w:rsidR="0098390B" w:rsidRPr="0098390B" w:rsidRDefault="0098390B" w:rsidP="0098390B">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98390B">
        <w:rPr>
          <w:rFonts w:ascii="Arial" w:eastAsia="Times New Roman" w:hAnsi="Arial" w:cs="Arial"/>
          <w:b/>
          <w:bCs/>
          <w:color w:val="1F1F1F"/>
          <w:kern w:val="0"/>
          <w:sz w:val="34"/>
          <w:szCs w:val="34"/>
          <w:lang w:eastAsia="es-UY"/>
          <w14:ligatures w14:val="none"/>
        </w:rPr>
        <w:t>Ralentización del progreso energético mundial</w:t>
      </w:r>
    </w:p>
    <w:p w14:paraId="4039268F"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6B891BF8"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El ritmo de electrificación global ha disminuido drásticamente en los últimos años debido a las tensiones macroeconómicas y los conflictos geopolíticos regionales. La mayor concentración de población desatendida se localiza en el África subsahariana, una región donde las infraestructuras actuales resultan insuficientes para absorber el crecimiento demográfico constante. Las inversiones financieras destinadas a redes de distribución pública se han contraído de forma severa, priorizando mercados con retornos más inmediatos y estables.</w:t>
      </w:r>
    </w:p>
    <w:p w14:paraId="0602DD5A"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36F27AAC"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Esta falta de capital e infraestructura básica cronifica la pobreza energética en entornos rurales alejados de los grandes núcleos urbanos. Mientras en los países desarrollados plataformas como</w:t>
      </w:r>
      <w:hyperlink r:id="rId4" w:tgtFrame="_blank" w:history="1">
        <w:r w:rsidRPr="0098390B">
          <w:rPr>
            <w:rFonts w:ascii="Arial" w:eastAsia="Times New Roman" w:hAnsi="Arial" w:cs="Arial"/>
            <w:color w:val="1F1F1F"/>
            <w:kern w:val="0"/>
            <w:sz w:val="22"/>
            <w:szCs w:val="22"/>
            <w:lang w:eastAsia="es-UY"/>
            <w14:ligatures w14:val="none"/>
          </w:rPr>
          <w:t xml:space="preserve"> </w:t>
        </w:r>
        <w:proofErr w:type="spellStart"/>
        <w:r w:rsidRPr="0098390B">
          <w:rPr>
            <w:rFonts w:ascii="Arial" w:eastAsia="Times New Roman" w:hAnsi="Arial" w:cs="Arial"/>
            <w:color w:val="1F1F1F"/>
            <w:kern w:val="0"/>
            <w:sz w:val="22"/>
            <w:szCs w:val="22"/>
            <w:u w:val="single"/>
            <w:lang w:eastAsia="es-UY"/>
            <w14:ligatures w14:val="none"/>
          </w:rPr>
          <w:t>papernest</w:t>
        </w:r>
        <w:proofErr w:type="spellEnd"/>
      </w:hyperlink>
      <w:r w:rsidRPr="0098390B">
        <w:rPr>
          <w:rFonts w:ascii="Arial" w:eastAsia="Times New Roman" w:hAnsi="Arial" w:cs="Arial"/>
          <w:color w:val="1F1F1F"/>
          <w:kern w:val="0"/>
          <w:sz w:val="22"/>
          <w:szCs w:val="22"/>
          <w:lang w:eastAsia="es-UY"/>
          <w14:ligatures w14:val="none"/>
        </w:rPr>
        <w:t xml:space="preserve"> optimizan la gestión de suministros domésticos cotidianos, las proyecciones para el cierre de la presente década sitúan a cientos de millones de ciudadanos al margen de los servicios energéticos modernos, debilitando el tejido productivo regional de manera irreversible.</w:t>
      </w:r>
    </w:p>
    <w:p w14:paraId="0F58DC13" w14:textId="77777777" w:rsidR="0098390B" w:rsidRPr="0098390B" w:rsidRDefault="0098390B" w:rsidP="0098390B">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98390B">
        <w:rPr>
          <w:rFonts w:ascii="Arial" w:eastAsia="Times New Roman" w:hAnsi="Arial" w:cs="Arial"/>
          <w:b/>
          <w:bCs/>
          <w:color w:val="1F1F1F"/>
          <w:kern w:val="0"/>
          <w:sz w:val="34"/>
          <w:szCs w:val="34"/>
          <w:lang w:eastAsia="es-UY"/>
          <w14:ligatures w14:val="none"/>
        </w:rPr>
        <w:t>Consecuencias sanitarias y socioeconómicas del déficit eléctrico</w:t>
      </w:r>
    </w:p>
    <w:p w14:paraId="5EFF723B"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La ausencia de un suministro eléctrico fiable impacta de manera directa en la sostenibilidad de los servicios públicos esenciales, especialmente en los centros de salud primaria. Los hospitales rurales sin energía constante no pueden asegurar la cadena de frío para vacunas críticas ni operar equipos médicos de emergencia esenciales. Esta precariedad incrementa la tasa de mortalidad infantil por causas evitables y desprotege a las poblaciones expuestas a enfermedades endémicas.</w:t>
      </w:r>
    </w:p>
    <w:p w14:paraId="08CE3D85"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6B1AC2FF"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Asimismo, la dependencia de fuentes térmicas rudimentarias provoca millones de muertes anuales asociadas a la contaminación del aire interior en viviendas familiares. A nivel de consumo y microeconomía, las pequeñas empresas locales ven limitadas sus horas de actividad a la luz solar diurna, un factor que frena drásticamente la competitividad laboral y perpetúa los ciclos de dependencia económica en los países en vías de desarrollo.</w:t>
      </w:r>
    </w:p>
    <w:p w14:paraId="7CB7ACDD"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2D6FA0C8" w14:textId="77777777" w:rsidR="0098390B" w:rsidRPr="0098390B" w:rsidRDefault="0098390B" w:rsidP="0098390B">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98390B">
        <w:rPr>
          <w:rFonts w:ascii="Arial" w:eastAsia="Times New Roman" w:hAnsi="Arial" w:cs="Arial"/>
          <w:b/>
          <w:bCs/>
          <w:color w:val="1F1F1F"/>
          <w:kern w:val="0"/>
          <w:sz w:val="34"/>
          <w:szCs w:val="34"/>
          <w:lang w:eastAsia="es-UY"/>
          <w14:ligatures w14:val="none"/>
        </w:rPr>
        <w:lastRenderedPageBreak/>
        <w:t>Estrategias estructurales de electrificación y transición limpia</w:t>
      </w:r>
    </w:p>
    <w:p w14:paraId="2E77F44C"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La resolución de esta crisis global exige un cambio de paradigma que combine las redes de distribución tradicionales con soluciones tecnológicas descentralizadas. Para el usuario occidental preocupado por</w:t>
      </w:r>
      <w:hyperlink r:id="rId5" w:tgtFrame="_blank" w:history="1">
        <w:r w:rsidRPr="0098390B">
          <w:rPr>
            <w:rFonts w:ascii="Arial" w:eastAsia="Times New Roman" w:hAnsi="Arial" w:cs="Arial"/>
            <w:color w:val="1F1F1F"/>
            <w:kern w:val="0"/>
            <w:sz w:val="22"/>
            <w:szCs w:val="22"/>
            <w:lang w:eastAsia="es-UY"/>
            <w14:ligatures w14:val="none"/>
          </w:rPr>
          <w:t xml:space="preserve"> </w:t>
        </w:r>
        <w:r w:rsidRPr="0098390B">
          <w:rPr>
            <w:rFonts w:ascii="Arial" w:eastAsia="Times New Roman" w:hAnsi="Arial" w:cs="Arial"/>
            <w:color w:val="1F1F1F"/>
            <w:kern w:val="0"/>
            <w:sz w:val="22"/>
            <w:szCs w:val="22"/>
            <w:u w:val="single"/>
            <w:lang w:eastAsia="es-UY"/>
            <w14:ligatures w14:val="none"/>
          </w:rPr>
          <w:t>cuánto cuesta dar de alta la luz</w:t>
        </w:r>
      </w:hyperlink>
      <w:r w:rsidRPr="0098390B">
        <w:rPr>
          <w:rFonts w:ascii="Arial" w:eastAsia="Times New Roman" w:hAnsi="Arial" w:cs="Arial"/>
          <w:color w:val="1F1F1F"/>
          <w:kern w:val="0"/>
          <w:sz w:val="22"/>
          <w:szCs w:val="22"/>
          <w:lang w:eastAsia="es-UY"/>
          <w14:ligatures w14:val="none"/>
        </w:rPr>
        <w:t xml:space="preserve"> o por conocer las variaciones en el</w:t>
      </w:r>
      <w:hyperlink r:id="rId6" w:tgtFrame="_blank" w:history="1">
        <w:r w:rsidRPr="0098390B">
          <w:rPr>
            <w:rFonts w:ascii="Arial" w:eastAsia="Times New Roman" w:hAnsi="Arial" w:cs="Arial"/>
            <w:color w:val="1F1F1F"/>
            <w:kern w:val="0"/>
            <w:sz w:val="22"/>
            <w:szCs w:val="22"/>
            <w:lang w:eastAsia="es-UY"/>
            <w14:ligatures w14:val="none"/>
          </w:rPr>
          <w:t xml:space="preserve"> </w:t>
        </w:r>
        <w:r w:rsidRPr="0098390B">
          <w:rPr>
            <w:rFonts w:ascii="Arial" w:eastAsia="Times New Roman" w:hAnsi="Arial" w:cs="Arial"/>
            <w:color w:val="1F1F1F"/>
            <w:kern w:val="0"/>
            <w:sz w:val="22"/>
            <w:szCs w:val="22"/>
            <w:u w:val="single"/>
            <w:lang w:eastAsia="es-UY"/>
            <w14:ligatures w14:val="none"/>
          </w:rPr>
          <w:t>precio de la luz</w:t>
        </w:r>
      </w:hyperlink>
      <w:r w:rsidRPr="0098390B">
        <w:rPr>
          <w:rFonts w:ascii="Arial" w:eastAsia="Times New Roman" w:hAnsi="Arial" w:cs="Arial"/>
          <w:color w:val="1F1F1F"/>
          <w:kern w:val="0"/>
          <w:sz w:val="22"/>
          <w:szCs w:val="22"/>
          <w:lang w:eastAsia="es-UY"/>
          <w14:ligatures w14:val="none"/>
        </w:rPr>
        <w:t>, la desconexión total es impensable, pero los sistemas de minirredes locales y los paneles solares independientes se consolidan hoy como las alternativas más viables para conectar comunidades aisladas geográficamente sin necesidad de esperar a las costosas infraestructuras estatales.</w:t>
      </w:r>
    </w:p>
    <w:p w14:paraId="4AE3C0B4"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1E64A2F8"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La diversificación mediante energías renovables de pequeña escala representa el vector fundamental para garantizar la resiliencia en este panorama complejo. Instituciones multilaterales y publicaciones especializadas como Energías Renovables destacan que la financiación internacional debe priorizar estos modelos modulares. La adopción de estas tecnologías fomenta de forma paralela la necesidad de</w:t>
      </w:r>
      <w:hyperlink r:id="rId7" w:tgtFrame="_blank" w:history="1">
        <w:r w:rsidRPr="0098390B">
          <w:rPr>
            <w:rFonts w:ascii="Arial" w:eastAsia="Times New Roman" w:hAnsi="Arial" w:cs="Arial"/>
            <w:color w:val="1F1F1F"/>
            <w:kern w:val="0"/>
            <w:sz w:val="22"/>
            <w:szCs w:val="22"/>
            <w:lang w:eastAsia="es-UY"/>
            <w14:ligatures w14:val="none"/>
          </w:rPr>
          <w:t xml:space="preserve"> </w:t>
        </w:r>
        <w:r w:rsidRPr="0098390B">
          <w:rPr>
            <w:rFonts w:ascii="Arial" w:eastAsia="Times New Roman" w:hAnsi="Arial" w:cs="Arial"/>
            <w:color w:val="1F1F1F"/>
            <w:kern w:val="0"/>
            <w:sz w:val="22"/>
            <w:szCs w:val="22"/>
            <w:u w:val="single"/>
            <w:lang w:eastAsia="es-UY"/>
            <w14:ligatures w14:val="none"/>
          </w:rPr>
          <w:t>reducir el consumo energético</w:t>
        </w:r>
      </w:hyperlink>
      <w:r w:rsidRPr="0098390B">
        <w:rPr>
          <w:rFonts w:ascii="Arial" w:eastAsia="Times New Roman" w:hAnsi="Arial" w:cs="Arial"/>
          <w:color w:val="1F1F1F"/>
          <w:kern w:val="0"/>
          <w:sz w:val="22"/>
          <w:szCs w:val="22"/>
          <w:lang w:eastAsia="es-UY"/>
          <w14:ligatures w14:val="none"/>
        </w:rPr>
        <w:t xml:space="preserve"> global. Solo eligiendo la</w:t>
      </w:r>
      <w:hyperlink r:id="rId8" w:tgtFrame="_blank" w:history="1">
        <w:r w:rsidRPr="0098390B">
          <w:rPr>
            <w:rFonts w:ascii="Arial" w:eastAsia="Times New Roman" w:hAnsi="Arial" w:cs="Arial"/>
            <w:color w:val="1F1F1F"/>
            <w:kern w:val="0"/>
            <w:sz w:val="22"/>
            <w:szCs w:val="22"/>
            <w:lang w:eastAsia="es-UY"/>
            <w14:ligatures w14:val="none"/>
          </w:rPr>
          <w:t xml:space="preserve"> </w:t>
        </w:r>
        <w:r w:rsidRPr="0098390B">
          <w:rPr>
            <w:rFonts w:ascii="Arial" w:eastAsia="Times New Roman" w:hAnsi="Arial" w:cs="Arial"/>
            <w:color w:val="1F1F1F"/>
            <w:kern w:val="0"/>
            <w:sz w:val="22"/>
            <w:szCs w:val="22"/>
            <w:u w:val="single"/>
            <w:lang w:eastAsia="es-UY"/>
            <w14:ligatures w14:val="none"/>
          </w:rPr>
          <w:t>mejor compañía eléctrica</w:t>
        </w:r>
      </w:hyperlink>
      <w:r w:rsidRPr="0098390B">
        <w:rPr>
          <w:rFonts w:ascii="Arial" w:eastAsia="Times New Roman" w:hAnsi="Arial" w:cs="Arial"/>
          <w:color w:val="1F1F1F"/>
          <w:kern w:val="0"/>
          <w:sz w:val="22"/>
          <w:szCs w:val="22"/>
          <w:lang w:eastAsia="es-UY"/>
          <w14:ligatures w14:val="none"/>
        </w:rPr>
        <w:t xml:space="preserve"> o el modelo de abastecimiento adecuado en cada territorio será factible mitigar la brecha de equidad y transformar el acceso a la electricidad en un catalizador de desarrollo social real.</w:t>
      </w:r>
    </w:p>
    <w:p w14:paraId="15CCB4F3" w14:textId="77777777" w:rsidR="0098390B" w:rsidRPr="0098390B" w:rsidRDefault="0098390B" w:rsidP="0098390B">
      <w:pPr>
        <w:spacing w:after="0" w:line="240" w:lineRule="auto"/>
        <w:rPr>
          <w:rFonts w:ascii="Times New Roman" w:eastAsia="Times New Roman" w:hAnsi="Times New Roman" w:cs="Times New Roman"/>
          <w:kern w:val="0"/>
          <w:lang w:eastAsia="es-UY"/>
          <w14:ligatures w14:val="none"/>
        </w:rPr>
      </w:pPr>
      <w:r w:rsidRPr="0098390B">
        <w:rPr>
          <w:rFonts w:ascii="Arial" w:eastAsia="Times New Roman" w:hAnsi="Arial" w:cs="Arial"/>
          <w:color w:val="222222"/>
          <w:kern w:val="0"/>
          <w:lang w:eastAsia="es-UY"/>
          <w14:ligatures w14:val="none"/>
        </w:rPr>
        <w:br/>
      </w:r>
    </w:p>
    <w:p w14:paraId="6946923C" w14:textId="77777777" w:rsidR="0098390B" w:rsidRPr="0098390B" w:rsidRDefault="0098390B" w:rsidP="0098390B">
      <w:pPr>
        <w:shd w:val="clear" w:color="auto" w:fill="FFFFFF"/>
        <w:spacing w:after="0" w:line="240" w:lineRule="auto"/>
        <w:jc w:val="both"/>
        <w:rPr>
          <w:rFonts w:ascii="Arial" w:eastAsia="Times New Roman" w:hAnsi="Arial" w:cs="Arial"/>
          <w:color w:val="222222"/>
          <w:kern w:val="0"/>
          <w:lang w:eastAsia="es-UY"/>
          <w14:ligatures w14:val="none"/>
        </w:rPr>
      </w:pPr>
      <w:r w:rsidRPr="0098390B">
        <w:rPr>
          <w:rFonts w:ascii="Arial" w:eastAsia="Times New Roman" w:hAnsi="Arial" w:cs="Arial"/>
          <w:color w:val="1F1F1F"/>
          <w:kern w:val="0"/>
          <w:sz w:val="22"/>
          <w:szCs w:val="22"/>
          <w:lang w:eastAsia="es-UY"/>
          <w14:ligatures w14:val="none"/>
        </w:rPr>
        <w:t xml:space="preserve">Fuente: </w:t>
      </w:r>
      <w:hyperlink r:id="rId9" w:tgtFrame="_blank" w:history="1">
        <w:r w:rsidRPr="0098390B">
          <w:rPr>
            <w:rFonts w:ascii="Arial" w:eastAsia="Times New Roman" w:hAnsi="Arial" w:cs="Arial"/>
            <w:color w:val="1155CC"/>
            <w:kern w:val="0"/>
            <w:sz w:val="22"/>
            <w:szCs w:val="22"/>
            <w:u w:val="single"/>
            <w:lang w:eastAsia="es-UY"/>
            <w14:ligatures w14:val="none"/>
          </w:rPr>
          <w:t>papernest.es</w:t>
        </w:r>
      </w:hyperlink>
    </w:p>
    <w:p w14:paraId="074A9FBC" w14:textId="77777777" w:rsidR="0098390B" w:rsidRDefault="0098390B"/>
    <w:sectPr w:rsidR="009839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0B"/>
    <w:rsid w:val="00197EC3"/>
    <w:rsid w:val="0098390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7ACF9"/>
  <w15:chartTrackingRefBased/>
  <w15:docId w15:val="{542764D3-31E1-40C5-B54C-DEF2CE14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83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3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39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39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39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39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39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39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39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39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39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39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39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39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39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39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39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390B"/>
    <w:rPr>
      <w:rFonts w:eastAsiaTheme="majorEastAsia" w:cstheme="majorBidi"/>
      <w:color w:val="272727" w:themeColor="text1" w:themeTint="D8"/>
    </w:rPr>
  </w:style>
  <w:style w:type="paragraph" w:styleId="Ttulo">
    <w:name w:val="Title"/>
    <w:basedOn w:val="Normal"/>
    <w:next w:val="Normal"/>
    <w:link w:val="TtuloCar"/>
    <w:uiPriority w:val="10"/>
    <w:qFormat/>
    <w:rsid w:val="00983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39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39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39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390B"/>
    <w:pPr>
      <w:spacing w:before="160"/>
      <w:jc w:val="center"/>
    </w:pPr>
    <w:rPr>
      <w:i/>
      <w:iCs/>
      <w:color w:val="404040" w:themeColor="text1" w:themeTint="BF"/>
    </w:rPr>
  </w:style>
  <w:style w:type="character" w:customStyle="1" w:styleId="CitaCar">
    <w:name w:val="Cita Car"/>
    <w:basedOn w:val="Fuentedeprrafopredeter"/>
    <w:link w:val="Cita"/>
    <w:uiPriority w:val="29"/>
    <w:rsid w:val="0098390B"/>
    <w:rPr>
      <w:i/>
      <w:iCs/>
      <w:color w:val="404040" w:themeColor="text1" w:themeTint="BF"/>
    </w:rPr>
  </w:style>
  <w:style w:type="paragraph" w:styleId="Prrafodelista">
    <w:name w:val="List Paragraph"/>
    <w:basedOn w:val="Normal"/>
    <w:uiPriority w:val="34"/>
    <w:qFormat/>
    <w:rsid w:val="0098390B"/>
    <w:pPr>
      <w:ind w:left="720"/>
      <w:contextualSpacing/>
    </w:pPr>
  </w:style>
  <w:style w:type="character" w:styleId="nfasisintenso">
    <w:name w:val="Intense Emphasis"/>
    <w:basedOn w:val="Fuentedeprrafopredeter"/>
    <w:uiPriority w:val="21"/>
    <w:qFormat/>
    <w:rsid w:val="0098390B"/>
    <w:rPr>
      <w:i/>
      <w:iCs/>
      <w:color w:val="0F4761" w:themeColor="accent1" w:themeShade="BF"/>
    </w:rPr>
  </w:style>
  <w:style w:type="paragraph" w:styleId="Citadestacada">
    <w:name w:val="Intense Quote"/>
    <w:basedOn w:val="Normal"/>
    <w:next w:val="Normal"/>
    <w:link w:val="CitadestacadaCar"/>
    <w:uiPriority w:val="30"/>
    <w:qFormat/>
    <w:rsid w:val="00983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390B"/>
    <w:rPr>
      <w:i/>
      <w:iCs/>
      <w:color w:val="0F4761" w:themeColor="accent1" w:themeShade="BF"/>
    </w:rPr>
  </w:style>
  <w:style w:type="character" w:styleId="Referenciaintensa">
    <w:name w:val="Intense Reference"/>
    <w:basedOn w:val="Fuentedeprrafopredeter"/>
    <w:uiPriority w:val="32"/>
    <w:qFormat/>
    <w:rsid w:val="009839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pernest.es/compania-mas-barata/mejor-compania-electrica/" TargetMode="External"/><Relationship Id="rId3" Type="http://schemas.openxmlformats.org/officeDocument/2006/relationships/webSettings" Target="webSettings.xml"/><Relationship Id="rId7" Type="http://schemas.openxmlformats.org/officeDocument/2006/relationships/hyperlink" Target="https://www.papernest.es/info/reducir-consumo-energeti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pernest.es/precio-de-la-luz/hoy/" TargetMode="External"/><Relationship Id="rId11" Type="http://schemas.openxmlformats.org/officeDocument/2006/relationships/theme" Target="theme/theme1.xml"/><Relationship Id="rId5" Type="http://schemas.openxmlformats.org/officeDocument/2006/relationships/hyperlink" Target="http://papernest.es/dar-de-alta-la-luz/cuanto-cuesta/" TargetMode="External"/><Relationship Id="rId10" Type="http://schemas.openxmlformats.org/officeDocument/2006/relationships/fontTable" Target="fontTable.xml"/><Relationship Id="rId4" Type="http://schemas.openxmlformats.org/officeDocument/2006/relationships/hyperlink" Target="https://www.papernest.es/" TargetMode="External"/><Relationship Id="rId9" Type="http://schemas.openxmlformats.org/officeDocument/2006/relationships/hyperlink" Target="http://papernes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3835</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2026-07-01T17:32:00Z</dcterms:created>
  <dcterms:modified xsi:type="dcterms:W3CDTF">2026-07-01T17:32:00Z</dcterms:modified>
</cp:coreProperties>
</file>