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7C9F6" w14:textId="00B344F8"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drawing>
          <wp:inline distT="0" distB="0" distL="0" distR="0" wp14:anchorId="78698641" wp14:editId="2F908206">
            <wp:extent cx="5400040" cy="1452245"/>
            <wp:effectExtent l="0" t="0" r="0" b="0"/>
            <wp:docPr id="74488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8858" name=""/>
                    <pic:cNvPicPr/>
                  </pic:nvPicPr>
                  <pic:blipFill>
                    <a:blip r:embed="rId4"/>
                    <a:stretch>
                      <a:fillRect/>
                    </a:stretch>
                  </pic:blipFill>
                  <pic:spPr>
                    <a:xfrm>
                      <a:off x="0" y="0"/>
                      <a:ext cx="5400040" cy="1452245"/>
                    </a:xfrm>
                    <a:prstGeom prst="rect">
                      <a:avLst/>
                    </a:prstGeom>
                  </pic:spPr>
                </pic:pic>
              </a:graphicData>
            </a:graphic>
          </wp:inline>
        </w:drawing>
      </w:r>
    </w:p>
    <w:p w14:paraId="0E2375A8"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0791F77D" w14:textId="1E7BCAE5"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El día de su muerte, </w:t>
      </w:r>
      <w:r w:rsidRPr="00E94696">
        <w:rPr>
          <w:rFonts w:ascii="Arial" w:eastAsia="Times New Roman" w:hAnsi="Arial" w:cs="Arial"/>
          <w:b/>
          <w:bCs/>
          <w:color w:val="333333"/>
          <w:kern w:val="0"/>
          <w:sz w:val="26"/>
          <w:szCs w:val="26"/>
          <w:lang w:eastAsia="es-UY"/>
          <w14:ligatures w14:val="none"/>
        </w:rPr>
        <w:t>Mohammad al-Halaq</w:t>
      </w:r>
      <w:r w:rsidRPr="00E94696">
        <w:rPr>
          <w:rFonts w:ascii="Arial" w:eastAsia="Times New Roman" w:hAnsi="Arial" w:cs="Arial"/>
          <w:color w:val="333333"/>
          <w:kern w:val="0"/>
          <w:sz w:val="26"/>
          <w:szCs w:val="26"/>
          <w:lang w:eastAsia="es-UY"/>
          <w14:ligatures w14:val="none"/>
        </w:rPr>
        <w:t> estaba radiante. En la escuela, le habían regalado una mochila nueva con el logo </w:t>
      </w:r>
      <w:r w:rsidRPr="00E94696">
        <w:rPr>
          <w:rFonts w:ascii="Arial" w:eastAsia="Times New Roman" w:hAnsi="Arial" w:cs="Arial"/>
          <w:b/>
          <w:bCs/>
          <w:color w:val="333333"/>
          <w:kern w:val="0"/>
          <w:sz w:val="26"/>
          <w:szCs w:val="26"/>
          <w:lang w:eastAsia="es-UY"/>
          <w14:ligatures w14:val="none"/>
        </w:rPr>
        <w:t>de UNICEF</w:t>
      </w:r>
      <w:r w:rsidRPr="00E94696">
        <w:rPr>
          <w:rFonts w:ascii="Arial" w:eastAsia="Times New Roman" w:hAnsi="Arial" w:cs="Arial"/>
          <w:color w:val="333333"/>
          <w:kern w:val="0"/>
          <w:sz w:val="26"/>
          <w:szCs w:val="26"/>
          <w:lang w:eastAsia="es-UY"/>
          <w14:ligatures w14:val="none"/>
        </w:rPr>
        <w:t> , la agencia de la ONU dedicada a la protección de la infancia. "Estaba muy feliz; recibir una mochila era algo extraordinario para él", recuerda </w:t>
      </w:r>
      <w:r w:rsidRPr="00E94696">
        <w:rPr>
          <w:rFonts w:ascii="Arial" w:eastAsia="Times New Roman" w:hAnsi="Arial" w:cs="Arial"/>
          <w:b/>
          <w:bCs/>
          <w:color w:val="333333"/>
          <w:kern w:val="0"/>
          <w:sz w:val="26"/>
          <w:szCs w:val="26"/>
          <w:lang w:eastAsia="es-UY"/>
          <w14:ligatures w14:val="none"/>
        </w:rPr>
        <w:t>Aliyah</w:t>
      </w:r>
      <w:r w:rsidRPr="00E94696">
        <w:rPr>
          <w:rFonts w:ascii="Arial" w:eastAsia="Times New Roman" w:hAnsi="Arial" w:cs="Arial"/>
          <w:color w:val="333333"/>
          <w:kern w:val="0"/>
          <w:sz w:val="26"/>
          <w:szCs w:val="26"/>
          <w:lang w:eastAsia="es-UY"/>
          <w14:ligatures w14:val="none"/>
        </w:rPr>
        <w:t> , su madre. "Vino a la puerta para enseñarme su nueva mochila, donde podía guardar sus lápices y bolígrafos".</w:t>
      </w:r>
    </w:p>
    <w:p w14:paraId="2A042245"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05D0374D"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La información proviene de </w:t>
      </w:r>
      <w:r w:rsidRPr="00E94696">
        <w:rPr>
          <w:rFonts w:ascii="Arial" w:eastAsia="Times New Roman" w:hAnsi="Arial" w:cs="Arial"/>
          <w:b/>
          <w:bCs/>
          <w:color w:val="333333"/>
          <w:kern w:val="0"/>
          <w:sz w:val="26"/>
          <w:szCs w:val="26"/>
          <w:lang w:eastAsia="es-UY"/>
          <w14:ligatures w14:val="none"/>
        </w:rPr>
        <w:t> </w:t>
      </w:r>
      <w:proofErr w:type="spellStart"/>
      <w:r w:rsidRPr="00E94696">
        <w:rPr>
          <w:rFonts w:ascii="Arial" w:eastAsia="Times New Roman" w:hAnsi="Arial" w:cs="Arial"/>
          <w:b/>
          <w:bCs/>
          <w:color w:val="333333"/>
          <w:kern w:val="0"/>
          <w:sz w:val="26"/>
          <w:szCs w:val="26"/>
          <w:lang w:eastAsia="es-UY"/>
          <w14:ligatures w14:val="none"/>
        </w:rPr>
        <w:t>Julian</w:t>
      </w:r>
      <w:proofErr w:type="spellEnd"/>
      <w:r w:rsidRPr="00E94696">
        <w:rPr>
          <w:rFonts w:ascii="Arial" w:eastAsia="Times New Roman" w:hAnsi="Arial" w:cs="Arial"/>
          <w:b/>
          <w:bCs/>
          <w:color w:val="333333"/>
          <w:kern w:val="0"/>
          <w:sz w:val="26"/>
          <w:szCs w:val="26"/>
          <w:lang w:eastAsia="es-UY"/>
          <w14:ligatures w14:val="none"/>
        </w:rPr>
        <w:t xml:space="preserve"> Borger</w:t>
      </w:r>
      <w:r w:rsidRPr="00E94696">
        <w:rPr>
          <w:rFonts w:ascii="Arial" w:eastAsia="Times New Roman" w:hAnsi="Arial" w:cs="Arial"/>
          <w:color w:val="333333"/>
          <w:kern w:val="0"/>
          <w:sz w:val="26"/>
          <w:szCs w:val="26"/>
          <w:lang w:eastAsia="es-UY"/>
          <w14:ligatures w14:val="none"/>
        </w:rPr>
        <w:t>  y  </w:t>
      </w:r>
      <w:r w:rsidRPr="00E94696">
        <w:rPr>
          <w:rFonts w:ascii="Arial" w:eastAsia="Times New Roman" w:hAnsi="Arial" w:cs="Arial"/>
          <w:b/>
          <w:bCs/>
          <w:color w:val="333333"/>
          <w:kern w:val="0"/>
          <w:sz w:val="26"/>
          <w:szCs w:val="26"/>
          <w:lang w:eastAsia="es-UY"/>
          <w14:ligatures w14:val="none"/>
        </w:rPr>
        <w:t>Quique Kierszenbaum</w:t>
      </w:r>
      <w:r w:rsidRPr="00E94696">
        <w:rPr>
          <w:rFonts w:ascii="Arial" w:eastAsia="Times New Roman" w:hAnsi="Arial" w:cs="Arial"/>
          <w:color w:val="333333"/>
          <w:kern w:val="0"/>
          <w:sz w:val="26"/>
          <w:szCs w:val="26"/>
          <w:lang w:eastAsia="es-UY"/>
          <w14:ligatures w14:val="none"/>
        </w:rPr>
        <w:t> , publicada por  </w:t>
      </w:r>
      <w:hyperlink r:id="rId5" w:tgtFrame="_blank" w:history="1">
        <w:r w:rsidRPr="00E94696">
          <w:rPr>
            <w:rFonts w:ascii="Arial" w:eastAsia="Times New Roman" w:hAnsi="Arial" w:cs="Arial"/>
            <w:color w:val="FC6B01"/>
            <w:kern w:val="0"/>
            <w:sz w:val="26"/>
            <w:szCs w:val="26"/>
            <w:u w:val="single"/>
            <w:lang w:eastAsia="es-UY"/>
            <w14:ligatures w14:val="none"/>
          </w:rPr>
          <w:t>El Diario</w:t>
        </w:r>
      </w:hyperlink>
      <w:r w:rsidRPr="00E94696">
        <w:rPr>
          <w:rFonts w:ascii="Arial" w:eastAsia="Times New Roman" w:hAnsi="Arial" w:cs="Arial"/>
          <w:color w:val="333333"/>
          <w:kern w:val="0"/>
          <w:sz w:val="26"/>
          <w:szCs w:val="26"/>
          <w:lang w:eastAsia="es-UY"/>
          <w14:ligatures w14:val="none"/>
        </w:rPr>
        <w:t> , en colaboración con  </w:t>
      </w:r>
      <w:hyperlink r:id="rId6" w:tgtFrame="_blank" w:history="1">
        <w:r w:rsidRPr="00E94696">
          <w:rPr>
            <w:rFonts w:ascii="Arial" w:eastAsia="Times New Roman" w:hAnsi="Arial" w:cs="Arial"/>
            <w:color w:val="FC6B01"/>
            <w:kern w:val="0"/>
            <w:sz w:val="26"/>
            <w:szCs w:val="26"/>
            <w:u w:val="single"/>
            <w:lang w:eastAsia="es-UY"/>
            <w14:ligatures w14:val="none"/>
          </w:rPr>
          <w:t>The Guardian</w:t>
        </w:r>
      </w:hyperlink>
      <w:r w:rsidRPr="00E94696">
        <w:rPr>
          <w:rFonts w:ascii="Arial" w:eastAsia="Times New Roman" w:hAnsi="Arial" w:cs="Arial"/>
          <w:color w:val="333333"/>
          <w:kern w:val="0"/>
          <w:sz w:val="26"/>
          <w:szCs w:val="26"/>
          <w:lang w:eastAsia="es-UY"/>
          <w14:ligatures w14:val="none"/>
        </w:rPr>
        <w:t> , el 1 de julio de 2026.</w:t>
      </w:r>
    </w:p>
    <w:p w14:paraId="4A123A9B"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1FE643FD"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b/>
          <w:bCs/>
          <w:color w:val="333333"/>
          <w:kern w:val="0"/>
          <w:sz w:val="26"/>
          <w:szCs w:val="26"/>
          <w:lang w:eastAsia="es-UY"/>
          <w14:ligatures w14:val="none"/>
        </w:rPr>
        <w:t>Mohammad,</w:t>
      </w:r>
      <w:r w:rsidRPr="00E94696">
        <w:rPr>
          <w:rFonts w:ascii="Arial" w:eastAsia="Times New Roman" w:hAnsi="Arial" w:cs="Arial"/>
          <w:color w:val="333333"/>
          <w:kern w:val="0"/>
          <w:sz w:val="26"/>
          <w:szCs w:val="26"/>
          <w:lang w:eastAsia="es-UY"/>
          <w14:ligatures w14:val="none"/>
        </w:rPr>
        <w:t> de nueve años , corrió a casa y luego regresó a la escuela para preguntar si podían darle otra mochila a su hermano. No fue posible. Después del almuerzo, salió a intentar atrapar pájaros con una red improvisada. Atrapó uno y se lo mostró a sus amigos. Lleno de energía, quería ir a casa de sus abuelos, que estaba cerca.</w:t>
      </w:r>
    </w:p>
    <w:p w14:paraId="32FCEBDC"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5FCB1188"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La familia </w:t>
      </w:r>
      <w:r w:rsidRPr="00E94696">
        <w:rPr>
          <w:rFonts w:ascii="Arial" w:eastAsia="Times New Roman" w:hAnsi="Arial" w:cs="Arial"/>
          <w:b/>
          <w:bCs/>
          <w:color w:val="333333"/>
          <w:kern w:val="0"/>
          <w:sz w:val="26"/>
          <w:szCs w:val="26"/>
          <w:lang w:eastAsia="es-UY"/>
          <w14:ligatures w14:val="none"/>
        </w:rPr>
        <w:t>al-Halaq</w:t>
      </w:r>
      <w:r w:rsidRPr="00E94696">
        <w:rPr>
          <w:rFonts w:ascii="Arial" w:eastAsia="Times New Roman" w:hAnsi="Arial" w:cs="Arial"/>
          <w:color w:val="333333"/>
          <w:kern w:val="0"/>
          <w:sz w:val="26"/>
          <w:szCs w:val="26"/>
          <w:lang w:eastAsia="es-UY"/>
          <w14:ligatures w14:val="none"/>
        </w:rPr>
        <w:t> vive en </w:t>
      </w:r>
      <w:r w:rsidRPr="00E94696">
        <w:rPr>
          <w:rFonts w:ascii="Arial" w:eastAsia="Times New Roman" w:hAnsi="Arial" w:cs="Arial"/>
          <w:b/>
          <w:bCs/>
          <w:color w:val="333333"/>
          <w:kern w:val="0"/>
          <w:sz w:val="26"/>
          <w:szCs w:val="26"/>
          <w:lang w:eastAsia="es-UY"/>
          <w14:ligatures w14:val="none"/>
        </w:rPr>
        <w:t>ar-</w:t>
      </w:r>
      <w:proofErr w:type="spellStart"/>
      <w:r w:rsidRPr="00E94696">
        <w:rPr>
          <w:rFonts w:ascii="Arial" w:eastAsia="Times New Roman" w:hAnsi="Arial" w:cs="Arial"/>
          <w:b/>
          <w:bCs/>
          <w:color w:val="333333"/>
          <w:kern w:val="0"/>
          <w:sz w:val="26"/>
          <w:szCs w:val="26"/>
          <w:lang w:eastAsia="es-UY"/>
          <w14:ligatures w14:val="none"/>
        </w:rPr>
        <w:t>Rihiya</w:t>
      </w:r>
      <w:proofErr w:type="spellEnd"/>
      <w:r w:rsidRPr="00E94696">
        <w:rPr>
          <w:rFonts w:ascii="Arial" w:eastAsia="Times New Roman" w:hAnsi="Arial" w:cs="Arial"/>
          <w:color w:val="333333"/>
          <w:kern w:val="0"/>
          <w:sz w:val="26"/>
          <w:szCs w:val="26"/>
          <w:lang w:eastAsia="es-UY"/>
          <w14:ligatures w14:val="none"/>
        </w:rPr>
        <w:t> , en las colinas al sur de la ciudad palestina de </w:t>
      </w:r>
      <w:r w:rsidRPr="00E94696">
        <w:rPr>
          <w:rFonts w:ascii="Arial" w:eastAsia="Times New Roman" w:hAnsi="Arial" w:cs="Arial"/>
          <w:b/>
          <w:bCs/>
          <w:color w:val="333333"/>
          <w:kern w:val="0"/>
          <w:sz w:val="26"/>
          <w:szCs w:val="26"/>
          <w:lang w:eastAsia="es-UY"/>
          <w14:ligatures w14:val="none"/>
        </w:rPr>
        <w:t>Hebrón</w:t>
      </w:r>
      <w:r w:rsidRPr="00E94696">
        <w:rPr>
          <w:rFonts w:ascii="Arial" w:eastAsia="Times New Roman" w:hAnsi="Arial" w:cs="Arial"/>
          <w:color w:val="333333"/>
          <w:kern w:val="0"/>
          <w:sz w:val="26"/>
          <w:szCs w:val="26"/>
          <w:lang w:eastAsia="es-UY"/>
          <w14:ligatures w14:val="none"/>
        </w:rPr>
        <w:t> . El lugar se ha hecho tristemente conocido por la violencia perpetrada por los colonos israelíes, instigada por un ejército cada vez más politizado. Por lo tanto, perder de vista a Mohammad preocupó a Aliyah, pero necesitaba ir de compras y su hijo estaba decidido a ir. Se despidió con la mano mientras él salía corriendo. Nunca más lo volvió a ver con vida.</w:t>
      </w:r>
    </w:p>
    <w:p w14:paraId="5E58C0FA"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0C6C7955"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Un soldado israelí disparó </w:t>
      </w:r>
      <w:r w:rsidRPr="00E94696">
        <w:rPr>
          <w:rFonts w:ascii="Arial" w:eastAsia="Times New Roman" w:hAnsi="Arial" w:cs="Arial"/>
          <w:b/>
          <w:bCs/>
          <w:color w:val="333333"/>
          <w:kern w:val="0"/>
          <w:sz w:val="26"/>
          <w:szCs w:val="26"/>
          <w:lang w:eastAsia="es-UY"/>
          <w14:ligatures w14:val="none"/>
        </w:rPr>
        <w:t>a Mohammad</w:t>
      </w:r>
      <w:r w:rsidRPr="00E94696">
        <w:rPr>
          <w:rFonts w:ascii="Arial" w:eastAsia="Times New Roman" w:hAnsi="Arial" w:cs="Arial"/>
          <w:color w:val="333333"/>
          <w:kern w:val="0"/>
          <w:sz w:val="26"/>
          <w:szCs w:val="26"/>
          <w:lang w:eastAsia="es-UY"/>
          <w14:ligatures w14:val="none"/>
        </w:rPr>
        <w:t> en la pelvis alrededor de las cuatro de la tarde de ese día, 16 de octubre de 2025. Mohammad estaba en el patio de la escuela jugando al fútbol con otros niños cuando se acercaron dos jeeps del ejército israelí. Los niños se dispersaron en todas direcciones. Según una versión, un par de adolescentes mayores arrojaron piedras a los jeeps mientras otros gritaban a los soldados desde una distancia que consideraban segura.</w:t>
      </w:r>
    </w:p>
    <w:p w14:paraId="4FCCDD45"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38776D13"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 xml:space="preserve">Un video muestra a un soldado bajando de un </w:t>
      </w:r>
      <w:proofErr w:type="gramStart"/>
      <w:r w:rsidRPr="00E94696">
        <w:rPr>
          <w:rFonts w:ascii="Arial" w:eastAsia="Times New Roman" w:hAnsi="Arial" w:cs="Arial"/>
          <w:color w:val="333333"/>
          <w:kern w:val="0"/>
          <w:sz w:val="26"/>
          <w:szCs w:val="26"/>
          <w:lang w:eastAsia="es-UY"/>
          <w14:ligatures w14:val="none"/>
        </w:rPr>
        <w:t>jeep</w:t>
      </w:r>
      <w:proofErr w:type="gramEnd"/>
      <w:r w:rsidRPr="00E94696">
        <w:rPr>
          <w:rFonts w:ascii="Arial" w:eastAsia="Times New Roman" w:hAnsi="Arial" w:cs="Arial"/>
          <w:color w:val="333333"/>
          <w:kern w:val="0"/>
          <w:sz w:val="26"/>
          <w:szCs w:val="26"/>
          <w:lang w:eastAsia="es-UY"/>
          <w14:ligatures w14:val="none"/>
        </w:rPr>
        <w:t xml:space="preserve"> y apuntando con su rifle hacia la cima de la colina, donde unos niños observaban lo que sucedía. Tras los disparos, Mohammad dio unos pasos y se desplomó al suelo. Otros intentaron llegar hasta el niño herido, pero los soldados que </w:t>
      </w:r>
      <w:r w:rsidRPr="00E94696">
        <w:rPr>
          <w:rFonts w:ascii="Arial" w:eastAsia="Times New Roman" w:hAnsi="Arial" w:cs="Arial"/>
          <w:color w:val="333333"/>
          <w:kern w:val="0"/>
          <w:sz w:val="26"/>
          <w:szCs w:val="26"/>
          <w:lang w:eastAsia="es-UY"/>
          <w14:ligatures w14:val="none"/>
        </w:rPr>
        <w:lastRenderedPageBreak/>
        <w:t>se encontraban abajo continuaron disparándoles y lanzándoles gas lacrimógeno.</w:t>
      </w:r>
    </w:p>
    <w:p w14:paraId="2F063C36"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58A03869"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Mohammad falleció en el hospital y su nombre se sumó a la lista de 235 </w:t>
      </w:r>
      <w:hyperlink r:id="rId7" w:tgtFrame="_blank" w:history="1">
        <w:r w:rsidRPr="00E94696">
          <w:rPr>
            <w:rFonts w:ascii="Arial" w:eastAsia="Times New Roman" w:hAnsi="Arial" w:cs="Arial"/>
            <w:color w:val="FC6B01"/>
            <w:kern w:val="0"/>
            <w:sz w:val="26"/>
            <w:szCs w:val="26"/>
            <w:u w:val="single"/>
            <w:lang w:eastAsia="es-UY"/>
            <w14:ligatures w14:val="none"/>
          </w:rPr>
          <w:t>niños y adolescentes palestinos de Cisjordania asesinados por soldados israelíes</w:t>
        </w:r>
      </w:hyperlink>
      <w:r w:rsidRPr="00E94696">
        <w:rPr>
          <w:rFonts w:ascii="Arial" w:eastAsia="Times New Roman" w:hAnsi="Arial" w:cs="Arial"/>
          <w:color w:val="333333"/>
          <w:kern w:val="0"/>
          <w:sz w:val="26"/>
          <w:szCs w:val="26"/>
          <w:lang w:eastAsia="es-UY"/>
          <w14:ligatures w14:val="none"/>
        </w:rPr>
        <w:t> (además de otros 5 asesinados directamente por colonos) desde el 7 de octubre de 2023, fecha que marcó el inicio de la guerra de represalia en Gaza tras el ataque de Hamás contra el sur de Israel, en el que murieron cerca de 1200 israelíes, entre ellos unos 800 civiles y 38 niños.</w:t>
      </w:r>
    </w:p>
    <w:p w14:paraId="56359FBF"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15A0EB10"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Las represalias por ese ataque no se limitaron a la </w:t>
      </w:r>
      <w:r w:rsidRPr="00E94696">
        <w:rPr>
          <w:rFonts w:ascii="Arial" w:eastAsia="Times New Roman" w:hAnsi="Arial" w:cs="Arial"/>
          <w:b/>
          <w:bCs/>
          <w:color w:val="333333"/>
          <w:kern w:val="0"/>
          <w:sz w:val="26"/>
          <w:szCs w:val="26"/>
          <w:lang w:eastAsia="es-UY"/>
          <w14:ligatures w14:val="none"/>
        </w:rPr>
        <w:t>Franja de Gaza</w:t>
      </w:r>
      <w:r w:rsidRPr="00E94696">
        <w:rPr>
          <w:rFonts w:ascii="Arial" w:eastAsia="Times New Roman" w:hAnsi="Arial" w:cs="Arial"/>
          <w:color w:val="333333"/>
          <w:kern w:val="0"/>
          <w:sz w:val="26"/>
          <w:szCs w:val="26"/>
          <w:lang w:eastAsia="es-UY"/>
          <w14:ligatures w14:val="none"/>
        </w:rPr>
        <w:t> , donde </w:t>
      </w:r>
      <w:hyperlink r:id="rId8" w:history="1">
        <w:r w:rsidRPr="00E94696">
          <w:rPr>
            <w:rFonts w:ascii="Arial" w:eastAsia="Times New Roman" w:hAnsi="Arial" w:cs="Arial"/>
            <w:color w:val="FC6B01"/>
            <w:kern w:val="0"/>
            <w:sz w:val="26"/>
            <w:szCs w:val="26"/>
            <w:u w:val="single"/>
            <w:lang w:eastAsia="es-UY"/>
            <w14:ligatures w14:val="none"/>
          </w:rPr>
          <w:t>más de 21.000 niños fueron asesinados</w:t>
        </w:r>
      </w:hyperlink>
      <w:r w:rsidRPr="00E94696">
        <w:rPr>
          <w:rFonts w:ascii="Arial" w:eastAsia="Times New Roman" w:hAnsi="Arial" w:cs="Arial"/>
          <w:color w:val="333333"/>
          <w:kern w:val="0"/>
          <w:sz w:val="26"/>
          <w:szCs w:val="26"/>
          <w:lang w:eastAsia="es-UY"/>
          <w14:ligatures w14:val="none"/>
        </w:rPr>
        <w:t> (de un total de 72.000 palestinos muertos). También se sintieron en </w:t>
      </w:r>
      <w:r w:rsidRPr="00E94696">
        <w:rPr>
          <w:rFonts w:ascii="Arial" w:eastAsia="Times New Roman" w:hAnsi="Arial" w:cs="Arial"/>
          <w:b/>
          <w:bCs/>
          <w:color w:val="333333"/>
          <w:kern w:val="0"/>
          <w:sz w:val="26"/>
          <w:szCs w:val="26"/>
          <w:lang w:eastAsia="es-UY"/>
          <w14:ligatures w14:val="none"/>
        </w:rPr>
        <w:t>Cisjordania</w:t>
      </w:r>
      <w:r w:rsidRPr="00E94696">
        <w:rPr>
          <w:rFonts w:ascii="Arial" w:eastAsia="Times New Roman" w:hAnsi="Arial" w:cs="Arial"/>
          <w:color w:val="333333"/>
          <w:kern w:val="0"/>
          <w:sz w:val="26"/>
          <w:szCs w:val="26"/>
          <w:lang w:eastAsia="es-UY"/>
          <w14:ligatures w14:val="none"/>
        </w:rPr>
        <w:t> , donde reina la impunidad y se han relajado las normas para la intervención militar.</w:t>
      </w:r>
    </w:p>
    <w:p w14:paraId="0BC27A61"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59669343" w14:textId="77777777" w:rsidR="00E94696" w:rsidRDefault="00E94696" w:rsidP="00E94696">
      <w:pPr>
        <w:spacing w:after="0" w:line="240" w:lineRule="auto"/>
        <w:jc w:val="both"/>
        <w:outlineLvl w:val="1"/>
        <w:rPr>
          <w:rFonts w:ascii="Arial" w:eastAsia="Times New Roman" w:hAnsi="Arial" w:cs="Arial"/>
          <w:b/>
          <w:bCs/>
          <w:color w:val="333333"/>
          <w:kern w:val="0"/>
          <w:sz w:val="36"/>
          <w:szCs w:val="36"/>
          <w:lang w:eastAsia="es-UY"/>
          <w14:ligatures w14:val="none"/>
        </w:rPr>
      </w:pPr>
      <w:r w:rsidRPr="00E94696">
        <w:rPr>
          <w:rFonts w:ascii="Arial" w:eastAsia="Times New Roman" w:hAnsi="Arial" w:cs="Arial"/>
          <w:b/>
          <w:bCs/>
          <w:color w:val="333333"/>
          <w:kern w:val="0"/>
          <w:sz w:val="36"/>
          <w:szCs w:val="36"/>
          <w:lang w:eastAsia="es-UY"/>
          <w14:ligatures w14:val="none"/>
        </w:rPr>
        <w:t>Licencia para matar</w:t>
      </w:r>
    </w:p>
    <w:p w14:paraId="53CD1EC2" w14:textId="77777777" w:rsidR="00E94696" w:rsidRPr="00E94696" w:rsidRDefault="00E94696" w:rsidP="00E94696">
      <w:pPr>
        <w:spacing w:after="0" w:line="240" w:lineRule="auto"/>
        <w:jc w:val="both"/>
        <w:outlineLvl w:val="1"/>
        <w:rPr>
          <w:rFonts w:ascii="Arial" w:eastAsia="Times New Roman" w:hAnsi="Arial" w:cs="Arial"/>
          <w:b/>
          <w:bCs/>
          <w:color w:val="333333"/>
          <w:kern w:val="0"/>
          <w:sz w:val="36"/>
          <w:szCs w:val="36"/>
          <w:lang w:eastAsia="es-UY"/>
          <w14:ligatures w14:val="none"/>
        </w:rPr>
      </w:pPr>
    </w:p>
    <w:p w14:paraId="4F2C51FF"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«La matanza generalizada y sin precedentes de </w:t>
      </w:r>
      <w:r w:rsidRPr="00E94696">
        <w:rPr>
          <w:rFonts w:ascii="Arial" w:eastAsia="Times New Roman" w:hAnsi="Arial" w:cs="Arial"/>
          <w:b/>
          <w:bCs/>
          <w:color w:val="333333"/>
          <w:kern w:val="0"/>
          <w:sz w:val="26"/>
          <w:szCs w:val="26"/>
          <w:lang w:eastAsia="es-UY"/>
          <w14:ligatures w14:val="none"/>
        </w:rPr>
        <w:t>niños y adolescentes palestinos en Cisjordania</w:t>
      </w:r>
      <w:r w:rsidRPr="00E94696">
        <w:rPr>
          <w:rFonts w:ascii="Arial" w:eastAsia="Times New Roman" w:hAnsi="Arial" w:cs="Arial"/>
          <w:color w:val="333333"/>
          <w:kern w:val="0"/>
          <w:sz w:val="26"/>
          <w:szCs w:val="26"/>
          <w:lang w:eastAsia="es-UY"/>
          <w14:ligatures w14:val="none"/>
        </w:rPr>
        <w:t> es el resultado de la política generalizada de Israel de matar palestinos con impunidad», afirma </w:t>
      </w:r>
      <w:r w:rsidRPr="00E94696">
        <w:rPr>
          <w:rFonts w:ascii="Arial" w:eastAsia="Times New Roman" w:hAnsi="Arial" w:cs="Arial"/>
          <w:b/>
          <w:bCs/>
          <w:color w:val="333333"/>
          <w:kern w:val="0"/>
          <w:sz w:val="26"/>
          <w:szCs w:val="26"/>
          <w:lang w:eastAsia="es-UY"/>
          <w14:ligatures w14:val="none"/>
        </w:rPr>
        <w:t>Yuli Novak</w:t>
      </w:r>
      <w:r w:rsidRPr="00E94696">
        <w:rPr>
          <w:rFonts w:ascii="Arial" w:eastAsia="Times New Roman" w:hAnsi="Arial" w:cs="Arial"/>
          <w:color w:val="333333"/>
          <w:kern w:val="0"/>
          <w:sz w:val="26"/>
          <w:szCs w:val="26"/>
          <w:lang w:eastAsia="es-UY"/>
          <w14:ligatures w14:val="none"/>
        </w:rPr>
        <w:t> , director ejecutivo de </w:t>
      </w:r>
      <w:proofErr w:type="spellStart"/>
      <w:r w:rsidRPr="00E94696">
        <w:rPr>
          <w:rFonts w:ascii="Arial" w:eastAsia="Times New Roman" w:hAnsi="Arial" w:cs="Arial"/>
          <w:color w:val="333333"/>
          <w:kern w:val="0"/>
          <w:sz w:val="26"/>
          <w:szCs w:val="26"/>
          <w:lang w:eastAsia="es-UY"/>
          <w14:ligatures w14:val="none"/>
        </w:rPr>
        <w:fldChar w:fldCharType="begin"/>
      </w:r>
      <w:r w:rsidRPr="00E94696">
        <w:rPr>
          <w:rFonts w:ascii="Arial" w:eastAsia="Times New Roman" w:hAnsi="Arial" w:cs="Arial"/>
          <w:color w:val="333333"/>
          <w:kern w:val="0"/>
          <w:sz w:val="26"/>
          <w:szCs w:val="26"/>
          <w:lang w:eastAsia="es-UY"/>
          <w14:ligatures w14:val="none"/>
        </w:rPr>
        <w:instrText>HYPERLINK "https://www.ihu.unisinos.br/658656-ha-risco-de-acoes-genocidas-em-outras-areas-controladas-por-israel-entrevista-com-sarit-michaeli-da-ong-b-tselem"</w:instrText>
      </w:r>
      <w:r w:rsidRPr="00E94696">
        <w:rPr>
          <w:rFonts w:ascii="Arial" w:eastAsia="Times New Roman" w:hAnsi="Arial" w:cs="Arial"/>
          <w:color w:val="333333"/>
          <w:kern w:val="0"/>
          <w:sz w:val="26"/>
          <w:szCs w:val="26"/>
          <w:lang w:eastAsia="es-UY"/>
          <w14:ligatures w14:val="none"/>
        </w:rPr>
      </w:r>
      <w:r w:rsidRPr="00E94696">
        <w:rPr>
          <w:rFonts w:ascii="Arial" w:eastAsia="Times New Roman" w:hAnsi="Arial" w:cs="Arial"/>
          <w:color w:val="333333"/>
          <w:kern w:val="0"/>
          <w:sz w:val="26"/>
          <w:szCs w:val="26"/>
          <w:lang w:eastAsia="es-UY"/>
          <w14:ligatures w14:val="none"/>
        </w:rPr>
        <w:fldChar w:fldCharType="separate"/>
      </w:r>
      <w:r w:rsidRPr="00E94696">
        <w:rPr>
          <w:rFonts w:ascii="Arial" w:eastAsia="Times New Roman" w:hAnsi="Arial" w:cs="Arial"/>
          <w:color w:val="FC6B01"/>
          <w:kern w:val="0"/>
          <w:sz w:val="26"/>
          <w:szCs w:val="26"/>
          <w:u w:val="single"/>
          <w:lang w:eastAsia="es-UY"/>
          <w14:ligatures w14:val="none"/>
        </w:rPr>
        <w:t>B'Tselem</w:t>
      </w:r>
      <w:proofErr w:type="spellEnd"/>
      <w:r w:rsidRPr="00E94696">
        <w:rPr>
          <w:rFonts w:ascii="Arial" w:eastAsia="Times New Roman" w:hAnsi="Arial" w:cs="Arial"/>
          <w:color w:val="333333"/>
          <w:kern w:val="0"/>
          <w:sz w:val="26"/>
          <w:szCs w:val="26"/>
          <w:lang w:eastAsia="es-UY"/>
          <w14:ligatures w14:val="none"/>
        </w:rPr>
        <w:fldChar w:fldCharType="end"/>
      </w:r>
      <w:r w:rsidRPr="00E94696">
        <w:rPr>
          <w:rFonts w:ascii="Arial" w:eastAsia="Times New Roman" w:hAnsi="Arial" w:cs="Arial"/>
          <w:color w:val="333333"/>
          <w:kern w:val="0"/>
          <w:sz w:val="26"/>
          <w:szCs w:val="26"/>
          <w:lang w:eastAsia="es-UY"/>
          <w14:ligatures w14:val="none"/>
        </w:rPr>
        <w:t> . Esta organización de derechos humanos publicó el informe </w:t>
      </w:r>
      <w:r w:rsidRPr="00E94696">
        <w:rPr>
          <w:rFonts w:ascii="Arial" w:eastAsia="Times New Roman" w:hAnsi="Arial" w:cs="Arial"/>
          <w:i/>
          <w:iCs/>
          <w:color w:val="333333"/>
          <w:kern w:val="0"/>
          <w:sz w:val="26"/>
          <w:szCs w:val="26"/>
          <w:lang w:eastAsia="es-UY"/>
          <w14:ligatures w14:val="none"/>
        </w:rPr>
        <w:t>«Infancia desprotegida</w:t>
      </w:r>
      <w:r w:rsidRPr="00E94696">
        <w:rPr>
          <w:rFonts w:ascii="Arial" w:eastAsia="Times New Roman" w:hAnsi="Arial" w:cs="Arial"/>
          <w:color w:val="333333"/>
          <w:kern w:val="0"/>
          <w:sz w:val="26"/>
          <w:szCs w:val="26"/>
          <w:lang w:eastAsia="es-UY"/>
          <w14:ligatures w14:val="none"/>
        </w:rPr>
        <w:t> », que trata sobre los 54 niños y adolescentes palestinos asesinados solo en 2025 en Cisjordania por las fuerzas israelíes. «El sistema no solo apoya a quienes disparan, sino que, en la práctica, les otorga </w:t>
      </w:r>
      <w:r w:rsidRPr="00E94696">
        <w:rPr>
          <w:rFonts w:ascii="Arial" w:eastAsia="Times New Roman" w:hAnsi="Arial" w:cs="Arial"/>
          <w:b/>
          <w:bCs/>
          <w:color w:val="333333"/>
          <w:kern w:val="0"/>
          <w:sz w:val="26"/>
          <w:szCs w:val="26"/>
          <w:lang w:eastAsia="es-UY"/>
          <w14:ligatures w14:val="none"/>
        </w:rPr>
        <w:t>licencia para matar</w:t>
      </w:r>
      <w:r w:rsidRPr="00E94696">
        <w:rPr>
          <w:rFonts w:ascii="Arial" w:eastAsia="Times New Roman" w:hAnsi="Arial" w:cs="Arial"/>
          <w:color w:val="333333"/>
          <w:kern w:val="0"/>
          <w:sz w:val="26"/>
          <w:szCs w:val="26"/>
          <w:lang w:eastAsia="es-UY"/>
          <w14:ligatures w14:val="none"/>
        </w:rPr>
        <w:t> », explica </w:t>
      </w:r>
      <w:r w:rsidRPr="00E94696">
        <w:rPr>
          <w:rFonts w:ascii="Arial" w:eastAsia="Times New Roman" w:hAnsi="Arial" w:cs="Arial"/>
          <w:b/>
          <w:bCs/>
          <w:color w:val="333333"/>
          <w:kern w:val="0"/>
          <w:sz w:val="26"/>
          <w:szCs w:val="26"/>
          <w:lang w:eastAsia="es-UY"/>
          <w14:ligatures w14:val="none"/>
        </w:rPr>
        <w:t>Novak</w:t>
      </w:r>
      <w:r w:rsidRPr="00E94696">
        <w:rPr>
          <w:rFonts w:ascii="Arial" w:eastAsia="Times New Roman" w:hAnsi="Arial" w:cs="Arial"/>
          <w:color w:val="333333"/>
          <w:kern w:val="0"/>
          <w:sz w:val="26"/>
          <w:szCs w:val="26"/>
          <w:lang w:eastAsia="es-UY"/>
          <w14:ligatures w14:val="none"/>
        </w:rPr>
        <w:t> .</w:t>
      </w:r>
    </w:p>
    <w:p w14:paraId="4E634C8C"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7252899D"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Según un análisis de </w:t>
      </w:r>
      <w:r w:rsidRPr="00E94696">
        <w:rPr>
          <w:rFonts w:ascii="Arial" w:eastAsia="Times New Roman" w:hAnsi="Arial" w:cs="Arial"/>
          <w:b/>
          <w:bCs/>
          <w:color w:val="333333"/>
          <w:kern w:val="0"/>
          <w:sz w:val="26"/>
          <w:szCs w:val="26"/>
          <w:lang w:eastAsia="es-UY"/>
          <w14:ligatures w14:val="none"/>
        </w:rPr>
        <w:t>Yesh Din</w:t>
      </w:r>
      <w:r w:rsidRPr="00E94696">
        <w:rPr>
          <w:rFonts w:ascii="Arial" w:eastAsia="Times New Roman" w:hAnsi="Arial" w:cs="Arial"/>
          <w:color w:val="333333"/>
          <w:kern w:val="0"/>
          <w:sz w:val="26"/>
          <w:szCs w:val="26"/>
          <w:lang w:eastAsia="es-UY"/>
          <w14:ligatures w14:val="none"/>
        </w:rPr>
        <w:t> , otra organización de derechos humanos, ningún israelí ha sido procesado por el asesinato de un palestino desde octubre de 2023.</w:t>
      </w:r>
    </w:p>
    <w:p w14:paraId="0BEDC9D7"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63762E0A"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«Las autoridades y las fuerzas de seguridad israelíes atacaron deliberadamente a niños palestinos, lo que provocó genocidio, crímenes de lesa humanidad y crímenes de guerra en la Franja de Gaza, así como crímenes de guerra en Cisjordania», concluye un </w:t>
      </w:r>
      <w:hyperlink r:id="rId9" w:history="1">
        <w:r w:rsidRPr="00E94696">
          <w:rPr>
            <w:rFonts w:ascii="Arial" w:eastAsia="Times New Roman" w:hAnsi="Arial" w:cs="Arial"/>
            <w:color w:val="FC6B01"/>
            <w:kern w:val="0"/>
            <w:sz w:val="26"/>
            <w:szCs w:val="26"/>
            <w:u w:val="single"/>
            <w:lang w:eastAsia="es-UY"/>
            <w14:ligatures w14:val="none"/>
          </w:rPr>
          <w:t>informe publicado por una comisión internacional independiente de la ONU</w:t>
        </w:r>
      </w:hyperlink>
      <w:r w:rsidRPr="00E94696">
        <w:rPr>
          <w:rFonts w:ascii="Arial" w:eastAsia="Times New Roman" w:hAnsi="Arial" w:cs="Arial"/>
          <w:color w:val="333333"/>
          <w:kern w:val="0"/>
          <w:sz w:val="26"/>
          <w:szCs w:val="26"/>
          <w:lang w:eastAsia="es-UY"/>
          <w14:ligatures w14:val="none"/>
        </w:rPr>
        <w:t> . «Las pruebas demuestran que las fuerzas de seguridad israelíes atacaron y asesinaron deliberadamente a niños palestinos», declaró </w:t>
      </w:r>
      <w:r w:rsidRPr="00E94696">
        <w:rPr>
          <w:rFonts w:ascii="Arial" w:eastAsia="Times New Roman" w:hAnsi="Arial" w:cs="Arial"/>
          <w:b/>
          <w:bCs/>
          <w:color w:val="333333"/>
          <w:kern w:val="0"/>
          <w:sz w:val="26"/>
          <w:szCs w:val="26"/>
          <w:lang w:eastAsia="es-UY"/>
          <w14:ligatures w14:val="none"/>
        </w:rPr>
        <w:t>Srinivasan Muralidhar</w:t>
      </w:r>
      <w:r w:rsidRPr="00E94696">
        <w:rPr>
          <w:rFonts w:ascii="Arial" w:eastAsia="Times New Roman" w:hAnsi="Arial" w:cs="Arial"/>
          <w:color w:val="333333"/>
          <w:kern w:val="0"/>
          <w:sz w:val="26"/>
          <w:szCs w:val="26"/>
          <w:lang w:eastAsia="es-UY"/>
          <w14:ligatures w14:val="none"/>
        </w:rPr>
        <w:t> , presidente de la comisión.</w:t>
      </w:r>
    </w:p>
    <w:p w14:paraId="073A9822"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47D125F3" w14:textId="77777777" w:rsidR="00E94696" w:rsidRDefault="00E94696" w:rsidP="00E94696">
      <w:pPr>
        <w:spacing w:after="0" w:line="240" w:lineRule="auto"/>
        <w:jc w:val="both"/>
        <w:outlineLvl w:val="1"/>
        <w:rPr>
          <w:rFonts w:ascii="Arial" w:eastAsia="Times New Roman" w:hAnsi="Arial" w:cs="Arial"/>
          <w:b/>
          <w:bCs/>
          <w:color w:val="333333"/>
          <w:kern w:val="0"/>
          <w:sz w:val="36"/>
          <w:szCs w:val="36"/>
          <w:lang w:eastAsia="es-UY"/>
          <w14:ligatures w14:val="none"/>
        </w:rPr>
      </w:pPr>
      <w:r w:rsidRPr="00E94696">
        <w:rPr>
          <w:rFonts w:ascii="Arial" w:eastAsia="Times New Roman" w:hAnsi="Arial" w:cs="Arial"/>
          <w:b/>
          <w:bCs/>
          <w:color w:val="333333"/>
          <w:kern w:val="0"/>
          <w:sz w:val="36"/>
          <w:szCs w:val="36"/>
          <w:lang w:eastAsia="es-UY"/>
          <w14:ligatures w14:val="none"/>
        </w:rPr>
        <w:t>Rimas, 13 años</w:t>
      </w:r>
    </w:p>
    <w:p w14:paraId="6B8BB2DC" w14:textId="77777777" w:rsidR="00E94696" w:rsidRPr="00E94696" w:rsidRDefault="00E94696" w:rsidP="00E94696">
      <w:pPr>
        <w:spacing w:after="0" w:line="240" w:lineRule="auto"/>
        <w:jc w:val="both"/>
        <w:outlineLvl w:val="1"/>
        <w:rPr>
          <w:rFonts w:ascii="Arial" w:eastAsia="Times New Roman" w:hAnsi="Arial" w:cs="Arial"/>
          <w:b/>
          <w:bCs/>
          <w:color w:val="333333"/>
          <w:kern w:val="0"/>
          <w:sz w:val="36"/>
          <w:szCs w:val="36"/>
          <w:lang w:eastAsia="es-UY"/>
          <w14:ligatures w14:val="none"/>
        </w:rPr>
      </w:pPr>
    </w:p>
    <w:p w14:paraId="3DA9BFD5"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b/>
          <w:bCs/>
          <w:color w:val="333333"/>
          <w:kern w:val="0"/>
          <w:sz w:val="26"/>
          <w:szCs w:val="26"/>
          <w:lang w:eastAsia="es-UY"/>
          <w14:ligatures w14:val="none"/>
        </w:rPr>
        <w:t>Rimas Amuri</w:t>
      </w:r>
      <w:r w:rsidRPr="00E94696">
        <w:rPr>
          <w:rFonts w:ascii="Arial" w:eastAsia="Times New Roman" w:hAnsi="Arial" w:cs="Arial"/>
          <w:color w:val="333333"/>
          <w:kern w:val="0"/>
          <w:sz w:val="26"/>
          <w:szCs w:val="26"/>
          <w:lang w:eastAsia="es-UY"/>
          <w14:ligatures w14:val="none"/>
        </w:rPr>
        <w:t> tenía 13 años en febrero de 2025 cuando recibió un disparo por la espalda en la puerta de su casa en el campo de refugiados </w:t>
      </w:r>
      <w:r w:rsidRPr="00E94696">
        <w:rPr>
          <w:rFonts w:ascii="Arial" w:eastAsia="Times New Roman" w:hAnsi="Arial" w:cs="Arial"/>
          <w:b/>
          <w:bCs/>
          <w:color w:val="333333"/>
          <w:kern w:val="0"/>
          <w:sz w:val="26"/>
          <w:szCs w:val="26"/>
          <w:lang w:eastAsia="es-UY"/>
          <w14:ligatures w14:val="none"/>
        </w:rPr>
        <w:t>de Jenin</w:t>
      </w:r>
      <w:r w:rsidRPr="00E94696">
        <w:rPr>
          <w:rFonts w:ascii="Arial" w:eastAsia="Times New Roman" w:hAnsi="Arial" w:cs="Arial"/>
          <w:color w:val="333333"/>
          <w:kern w:val="0"/>
          <w:sz w:val="26"/>
          <w:szCs w:val="26"/>
          <w:lang w:eastAsia="es-UY"/>
          <w14:ligatures w14:val="none"/>
        </w:rPr>
        <w:t xml:space="preserve"> . Era viernes y estaba jugando en la calle con sus primos. No había </w:t>
      </w:r>
      <w:r w:rsidRPr="00E94696">
        <w:rPr>
          <w:rFonts w:ascii="Arial" w:eastAsia="Times New Roman" w:hAnsi="Arial" w:cs="Arial"/>
          <w:color w:val="333333"/>
          <w:kern w:val="0"/>
          <w:sz w:val="26"/>
          <w:szCs w:val="26"/>
          <w:lang w:eastAsia="es-UY"/>
          <w14:ligatures w14:val="none"/>
        </w:rPr>
        <w:lastRenderedPageBreak/>
        <w:t>alertas de seguridad y el tráfico fluía con normalidad. La familia vive cerca de un puesto de control militar, una zona que, según </w:t>
      </w:r>
      <w:r w:rsidRPr="00E94696">
        <w:rPr>
          <w:rFonts w:ascii="Arial" w:eastAsia="Times New Roman" w:hAnsi="Arial" w:cs="Arial"/>
          <w:b/>
          <w:bCs/>
          <w:color w:val="333333"/>
          <w:kern w:val="0"/>
          <w:sz w:val="26"/>
          <w:szCs w:val="26"/>
          <w:lang w:eastAsia="es-UY"/>
          <w14:ligatures w14:val="none"/>
        </w:rPr>
        <w:t>Omar</w:t>
      </w:r>
      <w:r w:rsidRPr="00E94696">
        <w:rPr>
          <w:rFonts w:ascii="Arial" w:eastAsia="Times New Roman" w:hAnsi="Arial" w:cs="Arial"/>
          <w:color w:val="333333"/>
          <w:kern w:val="0"/>
          <w:sz w:val="26"/>
          <w:szCs w:val="26"/>
          <w:lang w:eastAsia="es-UY"/>
          <w14:ligatures w14:val="none"/>
        </w:rPr>
        <w:t> , el padre de </w:t>
      </w:r>
      <w:proofErr w:type="gramStart"/>
      <w:r w:rsidRPr="00E94696">
        <w:rPr>
          <w:rFonts w:ascii="Arial" w:eastAsia="Times New Roman" w:hAnsi="Arial" w:cs="Arial"/>
          <w:b/>
          <w:bCs/>
          <w:color w:val="333333"/>
          <w:kern w:val="0"/>
          <w:sz w:val="26"/>
          <w:szCs w:val="26"/>
          <w:lang w:eastAsia="es-UY"/>
          <w14:ligatures w14:val="none"/>
        </w:rPr>
        <w:t>Rimas</w:t>
      </w:r>
      <w:r w:rsidRPr="00E94696">
        <w:rPr>
          <w:rFonts w:ascii="Arial" w:eastAsia="Times New Roman" w:hAnsi="Arial" w:cs="Arial"/>
          <w:color w:val="333333"/>
          <w:kern w:val="0"/>
          <w:sz w:val="26"/>
          <w:szCs w:val="26"/>
          <w:lang w:eastAsia="es-UY"/>
          <w14:ligatures w14:val="none"/>
        </w:rPr>
        <w:t> ,</w:t>
      </w:r>
      <w:proofErr w:type="gramEnd"/>
      <w:r w:rsidRPr="00E94696">
        <w:rPr>
          <w:rFonts w:ascii="Arial" w:eastAsia="Times New Roman" w:hAnsi="Arial" w:cs="Arial"/>
          <w:color w:val="333333"/>
          <w:kern w:val="0"/>
          <w:sz w:val="26"/>
          <w:szCs w:val="26"/>
          <w:lang w:eastAsia="es-UY"/>
          <w14:ligatures w14:val="none"/>
        </w:rPr>
        <w:t xml:space="preserve"> suele considerarse segura. "Simplemente estábamos viviendo nuestras vidas con normalidad. Si hubiera sabido que algo andaba mal, jamás habría dejado que mi hija saliera a jugar a la calle", afirma.</w:t>
      </w:r>
    </w:p>
    <w:p w14:paraId="2A972673"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34311F14"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Tras el incidente, las </w:t>
      </w:r>
      <w:hyperlink r:id="rId10" w:tgtFrame="_blank" w:history="1">
        <w:r w:rsidRPr="00E94696">
          <w:rPr>
            <w:rFonts w:ascii="Arial" w:eastAsia="Times New Roman" w:hAnsi="Arial" w:cs="Arial"/>
            <w:color w:val="FC6B01"/>
            <w:kern w:val="0"/>
            <w:sz w:val="26"/>
            <w:szCs w:val="26"/>
            <w:u w:val="single"/>
            <w:lang w:eastAsia="es-UY"/>
            <w14:ligatures w14:val="none"/>
          </w:rPr>
          <w:t>Fuerzas de Defensa de Israel (FDI)</w:t>
        </w:r>
      </w:hyperlink>
      <w:r w:rsidRPr="00E94696">
        <w:rPr>
          <w:rFonts w:ascii="Arial" w:eastAsia="Times New Roman" w:hAnsi="Arial" w:cs="Arial"/>
          <w:color w:val="333333"/>
          <w:kern w:val="0"/>
          <w:sz w:val="26"/>
          <w:szCs w:val="26"/>
          <w:lang w:eastAsia="es-UY"/>
          <w14:ligatures w14:val="none"/>
        </w:rPr>
        <w:t> informaron al periódico israelí </w:t>
      </w:r>
      <w:r w:rsidRPr="00E94696">
        <w:rPr>
          <w:rFonts w:ascii="Arial" w:eastAsia="Times New Roman" w:hAnsi="Arial" w:cs="Arial"/>
          <w:i/>
          <w:iCs/>
          <w:color w:val="333333"/>
          <w:kern w:val="0"/>
          <w:sz w:val="26"/>
          <w:szCs w:val="26"/>
          <w:lang w:eastAsia="es-UY"/>
          <w14:ligatures w14:val="none"/>
        </w:rPr>
        <w:t>Haaretz</w:t>
      </w:r>
      <w:r w:rsidRPr="00E94696">
        <w:rPr>
          <w:rFonts w:ascii="Arial" w:eastAsia="Times New Roman" w:hAnsi="Arial" w:cs="Arial"/>
          <w:color w:val="333333"/>
          <w:kern w:val="0"/>
          <w:sz w:val="26"/>
          <w:szCs w:val="26"/>
          <w:lang w:eastAsia="es-UY"/>
          <w14:ligatures w14:val="none"/>
        </w:rPr>
        <w:t> que los soldados "identificaron una figura sospechosa que se movía cerca de las fuerzas que operaban en la zona". La investigación </w:t>
      </w:r>
      <w:r w:rsidRPr="00E94696">
        <w:rPr>
          <w:rFonts w:ascii="Arial" w:eastAsia="Times New Roman" w:hAnsi="Arial" w:cs="Arial"/>
          <w:b/>
          <w:bCs/>
          <w:color w:val="333333"/>
          <w:kern w:val="0"/>
          <w:sz w:val="26"/>
          <w:szCs w:val="26"/>
          <w:lang w:eastAsia="es-UY"/>
          <w14:ligatures w14:val="none"/>
        </w:rPr>
        <w:t xml:space="preserve">de </w:t>
      </w:r>
      <w:proofErr w:type="spellStart"/>
      <w:r w:rsidRPr="00E94696">
        <w:rPr>
          <w:rFonts w:ascii="Arial" w:eastAsia="Times New Roman" w:hAnsi="Arial" w:cs="Arial"/>
          <w:b/>
          <w:bCs/>
          <w:color w:val="333333"/>
          <w:kern w:val="0"/>
          <w:sz w:val="26"/>
          <w:szCs w:val="26"/>
          <w:lang w:eastAsia="es-UY"/>
          <w14:ligatures w14:val="none"/>
        </w:rPr>
        <w:t>B'Tselem</w:t>
      </w:r>
      <w:proofErr w:type="spellEnd"/>
      <w:r w:rsidRPr="00E94696">
        <w:rPr>
          <w:rFonts w:ascii="Arial" w:eastAsia="Times New Roman" w:hAnsi="Arial" w:cs="Arial"/>
          <w:color w:val="333333"/>
          <w:kern w:val="0"/>
          <w:sz w:val="26"/>
          <w:szCs w:val="26"/>
          <w:lang w:eastAsia="es-UY"/>
          <w14:ligatures w14:val="none"/>
        </w:rPr>
        <w:t> revela que, desde una distancia de 40 metros, los soldados pudieron ver que Rimas era una niña. Ninguno de los testigos escuchó ninguna advertencia y, según el informe médico, "Rimas recibió un disparo en la espalda, lo que sugiere que no se percató de la presencia de los soldados". La familia no ha recibido ninguna noticia sobre la investigación.</w:t>
      </w:r>
    </w:p>
    <w:p w14:paraId="49BAC64F"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5B820DCB" w14:textId="77777777" w:rsidR="00E94696" w:rsidRDefault="00E94696" w:rsidP="00E94696">
      <w:pPr>
        <w:spacing w:after="0" w:line="240" w:lineRule="auto"/>
        <w:jc w:val="both"/>
        <w:outlineLvl w:val="1"/>
        <w:rPr>
          <w:rFonts w:ascii="Arial" w:eastAsia="Times New Roman" w:hAnsi="Arial" w:cs="Arial"/>
          <w:b/>
          <w:bCs/>
          <w:color w:val="333333"/>
          <w:kern w:val="0"/>
          <w:sz w:val="36"/>
          <w:szCs w:val="36"/>
          <w:lang w:eastAsia="es-UY"/>
          <w14:ligatures w14:val="none"/>
        </w:rPr>
      </w:pPr>
      <w:r w:rsidRPr="00E94696">
        <w:rPr>
          <w:rFonts w:ascii="Arial" w:eastAsia="Times New Roman" w:hAnsi="Arial" w:cs="Arial"/>
          <w:b/>
          <w:bCs/>
          <w:color w:val="333333"/>
          <w:kern w:val="0"/>
          <w:sz w:val="36"/>
          <w:szCs w:val="36"/>
          <w:lang w:eastAsia="es-UY"/>
          <w14:ligatures w14:val="none"/>
        </w:rPr>
        <w:t>Layla, 2 años</w:t>
      </w:r>
    </w:p>
    <w:p w14:paraId="1F60420E" w14:textId="77777777" w:rsidR="00E94696" w:rsidRPr="00E94696" w:rsidRDefault="00E94696" w:rsidP="00E94696">
      <w:pPr>
        <w:spacing w:after="0" w:line="240" w:lineRule="auto"/>
        <w:jc w:val="both"/>
        <w:outlineLvl w:val="1"/>
        <w:rPr>
          <w:rFonts w:ascii="Arial" w:eastAsia="Times New Roman" w:hAnsi="Arial" w:cs="Arial"/>
          <w:b/>
          <w:bCs/>
          <w:color w:val="333333"/>
          <w:kern w:val="0"/>
          <w:sz w:val="36"/>
          <w:szCs w:val="36"/>
          <w:lang w:eastAsia="es-UY"/>
          <w14:ligatures w14:val="none"/>
        </w:rPr>
      </w:pPr>
    </w:p>
    <w:p w14:paraId="2758022F"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b/>
          <w:bCs/>
          <w:color w:val="333333"/>
          <w:kern w:val="0"/>
          <w:sz w:val="26"/>
          <w:szCs w:val="26"/>
          <w:lang w:eastAsia="es-UY"/>
          <w14:ligatures w14:val="none"/>
        </w:rPr>
        <w:t>Layla al-Khatib,</w:t>
      </w:r>
      <w:r w:rsidRPr="00E94696">
        <w:rPr>
          <w:rFonts w:ascii="Arial" w:eastAsia="Times New Roman" w:hAnsi="Arial" w:cs="Arial"/>
          <w:color w:val="333333"/>
          <w:kern w:val="0"/>
          <w:sz w:val="26"/>
          <w:szCs w:val="26"/>
          <w:lang w:eastAsia="es-UY"/>
          <w14:ligatures w14:val="none"/>
        </w:rPr>
        <w:t> de dos años, estaba sentada en el regazo </w:t>
      </w:r>
      <w:r w:rsidRPr="00E94696">
        <w:rPr>
          <w:rFonts w:ascii="Arial" w:eastAsia="Times New Roman" w:hAnsi="Arial" w:cs="Arial"/>
          <w:b/>
          <w:bCs/>
          <w:color w:val="333333"/>
          <w:kern w:val="0"/>
          <w:sz w:val="26"/>
          <w:szCs w:val="26"/>
          <w:lang w:eastAsia="es-UY"/>
          <w14:ligatures w14:val="none"/>
        </w:rPr>
        <w:t xml:space="preserve">de su madre, </w:t>
      </w:r>
      <w:proofErr w:type="spellStart"/>
      <w:r w:rsidRPr="00E94696">
        <w:rPr>
          <w:rFonts w:ascii="Arial" w:eastAsia="Times New Roman" w:hAnsi="Arial" w:cs="Arial"/>
          <w:b/>
          <w:bCs/>
          <w:color w:val="333333"/>
          <w:kern w:val="0"/>
          <w:sz w:val="26"/>
          <w:szCs w:val="26"/>
          <w:lang w:eastAsia="es-UY"/>
          <w14:ligatures w14:val="none"/>
        </w:rPr>
        <w:t>Taymaa</w:t>
      </w:r>
      <w:proofErr w:type="spellEnd"/>
      <w:r w:rsidRPr="00E94696">
        <w:rPr>
          <w:rFonts w:ascii="Arial" w:eastAsia="Times New Roman" w:hAnsi="Arial" w:cs="Arial"/>
          <w:b/>
          <w:bCs/>
          <w:color w:val="333333"/>
          <w:kern w:val="0"/>
          <w:sz w:val="26"/>
          <w:szCs w:val="26"/>
          <w:lang w:eastAsia="es-UY"/>
          <w14:ligatures w14:val="none"/>
        </w:rPr>
        <w:t>,</w:t>
      </w:r>
      <w:r w:rsidRPr="00E94696">
        <w:rPr>
          <w:rFonts w:ascii="Arial" w:eastAsia="Times New Roman" w:hAnsi="Arial" w:cs="Arial"/>
          <w:color w:val="333333"/>
          <w:kern w:val="0"/>
          <w:sz w:val="26"/>
          <w:szCs w:val="26"/>
          <w:lang w:eastAsia="es-UY"/>
          <w14:ligatures w14:val="none"/>
        </w:rPr>
        <w:t> en su casa cuando un soldado israelí le disparó en la cabeza en enero de 2025. </w:t>
      </w:r>
      <w:r w:rsidRPr="00E94696">
        <w:rPr>
          <w:rFonts w:ascii="Arial" w:eastAsia="Times New Roman" w:hAnsi="Arial" w:cs="Arial"/>
          <w:b/>
          <w:bCs/>
          <w:color w:val="333333"/>
          <w:kern w:val="0"/>
          <w:sz w:val="26"/>
          <w:szCs w:val="26"/>
          <w:lang w:eastAsia="es-UY"/>
          <w14:ligatures w14:val="none"/>
        </w:rPr>
        <w:t>Bassam al-Khatib</w:t>
      </w:r>
      <w:r w:rsidRPr="00E94696">
        <w:rPr>
          <w:rFonts w:ascii="Arial" w:eastAsia="Times New Roman" w:hAnsi="Arial" w:cs="Arial"/>
          <w:color w:val="333333"/>
          <w:kern w:val="0"/>
          <w:sz w:val="26"/>
          <w:szCs w:val="26"/>
          <w:lang w:eastAsia="es-UY"/>
          <w14:ligatures w14:val="none"/>
        </w:rPr>
        <w:t xml:space="preserve"> , padre de </w:t>
      </w:r>
      <w:proofErr w:type="spellStart"/>
      <w:r w:rsidRPr="00E94696">
        <w:rPr>
          <w:rFonts w:ascii="Arial" w:eastAsia="Times New Roman" w:hAnsi="Arial" w:cs="Arial"/>
          <w:color w:val="333333"/>
          <w:kern w:val="0"/>
          <w:sz w:val="26"/>
          <w:szCs w:val="26"/>
          <w:lang w:eastAsia="es-UY"/>
          <w14:ligatures w14:val="none"/>
        </w:rPr>
        <w:t>Taymaa</w:t>
      </w:r>
      <w:proofErr w:type="spellEnd"/>
      <w:r w:rsidRPr="00E94696">
        <w:rPr>
          <w:rFonts w:ascii="Arial" w:eastAsia="Times New Roman" w:hAnsi="Arial" w:cs="Arial"/>
          <w:color w:val="333333"/>
          <w:kern w:val="0"/>
          <w:sz w:val="26"/>
          <w:szCs w:val="26"/>
          <w:lang w:eastAsia="es-UY"/>
          <w14:ligatures w14:val="none"/>
        </w:rPr>
        <w:t xml:space="preserve"> y abuelo de Layla, relata que estaban cenando en familia un sábado por la noche en </w:t>
      </w:r>
      <w:proofErr w:type="spellStart"/>
      <w:r w:rsidRPr="00E94696">
        <w:rPr>
          <w:rFonts w:ascii="Arial" w:eastAsia="Times New Roman" w:hAnsi="Arial" w:cs="Arial"/>
          <w:b/>
          <w:bCs/>
          <w:color w:val="333333"/>
          <w:kern w:val="0"/>
          <w:sz w:val="26"/>
          <w:szCs w:val="26"/>
          <w:lang w:eastAsia="es-UY"/>
          <w14:ligatures w14:val="none"/>
        </w:rPr>
        <w:t>Muthallath</w:t>
      </w:r>
      <w:proofErr w:type="spellEnd"/>
      <w:r w:rsidRPr="00E94696">
        <w:rPr>
          <w:rFonts w:ascii="Arial" w:eastAsia="Times New Roman" w:hAnsi="Arial" w:cs="Arial"/>
          <w:b/>
          <w:bCs/>
          <w:color w:val="333333"/>
          <w:kern w:val="0"/>
          <w:sz w:val="26"/>
          <w:szCs w:val="26"/>
          <w:lang w:eastAsia="es-UY"/>
          <w14:ligatures w14:val="none"/>
        </w:rPr>
        <w:t xml:space="preserve"> a-Shuhada</w:t>
      </w:r>
      <w:r w:rsidRPr="00E94696">
        <w:rPr>
          <w:rFonts w:ascii="Arial" w:eastAsia="Times New Roman" w:hAnsi="Arial" w:cs="Arial"/>
          <w:color w:val="333333"/>
          <w:kern w:val="0"/>
          <w:sz w:val="26"/>
          <w:szCs w:val="26"/>
          <w:lang w:eastAsia="es-UY"/>
          <w14:ligatures w14:val="none"/>
        </w:rPr>
        <w:t> , cerca de </w:t>
      </w:r>
      <w:r w:rsidRPr="00E94696">
        <w:rPr>
          <w:rFonts w:ascii="Arial" w:eastAsia="Times New Roman" w:hAnsi="Arial" w:cs="Arial"/>
          <w:b/>
          <w:bCs/>
          <w:color w:val="333333"/>
          <w:kern w:val="0"/>
          <w:sz w:val="26"/>
          <w:szCs w:val="26"/>
          <w:lang w:eastAsia="es-UY"/>
          <w14:ligatures w14:val="none"/>
        </w:rPr>
        <w:t>Jenin</w:t>
      </w:r>
      <w:r w:rsidRPr="00E94696">
        <w:rPr>
          <w:rFonts w:ascii="Arial" w:eastAsia="Times New Roman" w:hAnsi="Arial" w:cs="Arial"/>
          <w:color w:val="333333"/>
          <w:kern w:val="0"/>
          <w:sz w:val="26"/>
          <w:szCs w:val="26"/>
          <w:lang w:eastAsia="es-UY"/>
          <w14:ligatures w14:val="none"/>
        </w:rPr>
        <w:t> , cuando se escuchó un alboroto en las calles aledañas. Soldados israelíes habían llegado al barrio en tres vehículos civiles con matrículas palestinas y se habían apoderado de un edificio cercano. La familia continuó cenando hasta que, de repente, se oyeron los aterradores disparos.</w:t>
      </w:r>
    </w:p>
    <w:p w14:paraId="181D3A2E"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76588BF4" w14:textId="77777777" w:rsid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“Mi esposa y yo nos tiramos al suelo, y entonces oí a nuestras hijas gritar, llamando sin cesar a </w:t>
      </w:r>
      <w:r w:rsidRPr="00E94696">
        <w:rPr>
          <w:rFonts w:ascii="Arial" w:eastAsia="Times New Roman" w:hAnsi="Arial" w:cs="Arial"/>
          <w:b/>
          <w:bCs/>
          <w:color w:val="333333"/>
          <w:kern w:val="0"/>
          <w:sz w:val="26"/>
          <w:szCs w:val="26"/>
          <w:lang w:eastAsia="es-UY"/>
          <w14:ligatures w14:val="none"/>
        </w:rPr>
        <w:t>Layla</w:t>
      </w:r>
      <w:r w:rsidRPr="00E94696">
        <w:rPr>
          <w:rFonts w:ascii="Arial" w:eastAsia="Times New Roman" w:hAnsi="Arial" w:cs="Arial"/>
          <w:color w:val="333333"/>
          <w:kern w:val="0"/>
          <w:sz w:val="26"/>
          <w:szCs w:val="26"/>
          <w:lang w:eastAsia="es-UY"/>
          <w14:ligatures w14:val="none"/>
        </w:rPr>
        <w:t> ”, recuerda </w:t>
      </w:r>
      <w:r w:rsidRPr="00E94696">
        <w:rPr>
          <w:rFonts w:ascii="Arial" w:eastAsia="Times New Roman" w:hAnsi="Arial" w:cs="Arial"/>
          <w:b/>
          <w:bCs/>
          <w:color w:val="333333"/>
          <w:kern w:val="0"/>
          <w:sz w:val="26"/>
          <w:szCs w:val="26"/>
          <w:lang w:eastAsia="es-UY"/>
          <w14:ligatures w14:val="none"/>
        </w:rPr>
        <w:t>Bassam</w:t>
      </w:r>
      <w:r w:rsidRPr="00E94696">
        <w:rPr>
          <w:rFonts w:ascii="Arial" w:eastAsia="Times New Roman" w:hAnsi="Arial" w:cs="Arial"/>
          <w:color w:val="333333"/>
          <w:kern w:val="0"/>
          <w:sz w:val="26"/>
          <w:szCs w:val="26"/>
          <w:lang w:eastAsia="es-UY"/>
          <w14:ligatures w14:val="none"/>
        </w:rPr>
        <w:t> . Entró en la habitación donde sus hijas se habían refugiado, </w:t>
      </w:r>
      <w:r w:rsidRPr="00E94696">
        <w:rPr>
          <w:rFonts w:ascii="Arial" w:eastAsia="Times New Roman" w:hAnsi="Arial" w:cs="Arial"/>
          <w:b/>
          <w:bCs/>
          <w:color w:val="333333"/>
          <w:kern w:val="0"/>
          <w:sz w:val="26"/>
          <w:szCs w:val="26"/>
          <w:lang w:eastAsia="es-UY"/>
          <w14:ligatures w14:val="none"/>
        </w:rPr>
        <w:t>la</w:t>
      </w:r>
      <w:r w:rsidRPr="00E94696">
        <w:rPr>
          <w:rFonts w:ascii="Arial" w:eastAsia="Times New Roman" w:hAnsi="Arial" w:cs="Arial"/>
          <w:color w:val="333333"/>
          <w:kern w:val="0"/>
          <w:sz w:val="26"/>
          <w:szCs w:val="26"/>
          <w:lang w:eastAsia="es-UY"/>
          <w14:ligatures w14:val="none"/>
        </w:rPr>
        <w:t> alzó en brazos y la llevó a la calle. La casa estaba rodeada de soldados. “‘¿Por qué nos dispararon? ¿Por qué mataron a mi nieta?’, le pregunté al oficial. El oficial llamó a uno de los soldados para que le prestara primeros auxilios, el soldado dijo: ‘No puedo ayudarla’, y el oficial dijo que llamarían a una ambulancia; tardaron unos 15 minutos”. </w:t>
      </w:r>
      <w:r w:rsidRPr="00E94696">
        <w:rPr>
          <w:rFonts w:ascii="Arial" w:eastAsia="Times New Roman" w:hAnsi="Arial" w:cs="Arial"/>
          <w:b/>
          <w:bCs/>
          <w:color w:val="333333"/>
          <w:kern w:val="0"/>
          <w:sz w:val="26"/>
          <w:szCs w:val="26"/>
          <w:lang w:eastAsia="es-UY"/>
          <w14:ligatures w14:val="none"/>
        </w:rPr>
        <w:t>Layla</w:t>
      </w:r>
      <w:r w:rsidRPr="00E94696">
        <w:rPr>
          <w:rFonts w:ascii="Arial" w:eastAsia="Times New Roman" w:hAnsi="Arial" w:cs="Arial"/>
          <w:color w:val="333333"/>
          <w:kern w:val="0"/>
          <w:sz w:val="26"/>
          <w:szCs w:val="26"/>
          <w:lang w:eastAsia="es-UY"/>
          <w14:ligatures w14:val="none"/>
        </w:rPr>
        <w:t> fue declarada muerta en el hospital. “Este es un pequeño ejemplo de lo que le está sucediendo a nuestra gente”, dice </w:t>
      </w:r>
      <w:r w:rsidRPr="00E94696">
        <w:rPr>
          <w:rFonts w:ascii="Arial" w:eastAsia="Times New Roman" w:hAnsi="Arial" w:cs="Arial"/>
          <w:b/>
          <w:bCs/>
          <w:color w:val="333333"/>
          <w:kern w:val="0"/>
          <w:sz w:val="26"/>
          <w:szCs w:val="26"/>
          <w:lang w:eastAsia="es-UY"/>
          <w14:ligatures w14:val="none"/>
        </w:rPr>
        <w:t>Bassam</w:t>
      </w:r>
      <w:r w:rsidRPr="00E94696">
        <w:rPr>
          <w:rFonts w:ascii="Arial" w:eastAsia="Times New Roman" w:hAnsi="Arial" w:cs="Arial"/>
          <w:color w:val="333333"/>
          <w:kern w:val="0"/>
          <w:sz w:val="26"/>
          <w:szCs w:val="26"/>
          <w:lang w:eastAsia="es-UY"/>
          <w14:ligatures w14:val="none"/>
        </w:rPr>
        <w:t> . “Que la historia de Layla marque el fin del asesinato de más niños y seres humanos”.</w:t>
      </w:r>
    </w:p>
    <w:p w14:paraId="225BA70D"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p>
    <w:p w14:paraId="3DFE0966" w14:textId="77777777" w:rsidR="00E94696" w:rsidRPr="00E94696" w:rsidRDefault="00E94696" w:rsidP="00E94696">
      <w:pPr>
        <w:spacing w:after="0" w:line="240" w:lineRule="auto"/>
        <w:jc w:val="both"/>
        <w:rPr>
          <w:rFonts w:ascii="Arial" w:eastAsia="Times New Roman" w:hAnsi="Arial" w:cs="Arial"/>
          <w:color w:val="333333"/>
          <w:kern w:val="0"/>
          <w:sz w:val="26"/>
          <w:szCs w:val="26"/>
          <w:lang w:eastAsia="es-UY"/>
          <w14:ligatures w14:val="none"/>
        </w:rPr>
      </w:pPr>
      <w:r w:rsidRPr="00E94696">
        <w:rPr>
          <w:rFonts w:ascii="Arial" w:eastAsia="Times New Roman" w:hAnsi="Arial" w:cs="Arial"/>
          <w:color w:val="333333"/>
          <w:kern w:val="0"/>
          <w:sz w:val="26"/>
          <w:szCs w:val="26"/>
          <w:lang w:eastAsia="es-UY"/>
          <w14:ligatures w14:val="none"/>
        </w:rPr>
        <w:t>Un portavoz de las </w:t>
      </w:r>
      <w:r w:rsidRPr="00E94696">
        <w:rPr>
          <w:rFonts w:ascii="Arial" w:eastAsia="Times New Roman" w:hAnsi="Arial" w:cs="Arial"/>
          <w:b/>
          <w:bCs/>
          <w:color w:val="333333"/>
          <w:kern w:val="0"/>
          <w:sz w:val="26"/>
          <w:szCs w:val="26"/>
          <w:lang w:eastAsia="es-UY"/>
          <w14:ligatures w14:val="none"/>
        </w:rPr>
        <w:t>Fuerzas de Defensa de Israel</w:t>
      </w:r>
      <w:r w:rsidRPr="00E94696">
        <w:rPr>
          <w:rFonts w:ascii="Arial" w:eastAsia="Times New Roman" w:hAnsi="Arial" w:cs="Arial"/>
          <w:color w:val="333333"/>
          <w:kern w:val="0"/>
          <w:sz w:val="26"/>
          <w:szCs w:val="26"/>
          <w:lang w:eastAsia="es-UY"/>
          <w14:ligatures w14:val="none"/>
        </w:rPr>
        <w:t> afirma que los casos de </w:t>
      </w:r>
      <w:r w:rsidRPr="00E94696">
        <w:rPr>
          <w:rFonts w:ascii="Arial" w:eastAsia="Times New Roman" w:hAnsi="Arial" w:cs="Arial"/>
          <w:b/>
          <w:bCs/>
          <w:color w:val="333333"/>
          <w:kern w:val="0"/>
          <w:sz w:val="26"/>
          <w:szCs w:val="26"/>
          <w:lang w:eastAsia="es-UY"/>
          <w14:ligatures w14:val="none"/>
        </w:rPr>
        <w:t>al-Halaq</w:t>
      </w:r>
      <w:r w:rsidRPr="00E94696">
        <w:rPr>
          <w:rFonts w:ascii="Arial" w:eastAsia="Times New Roman" w:hAnsi="Arial" w:cs="Arial"/>
          <w:color w:val="333333"/>
          <w:kern w:val="0"/>
          <w:sz w:val="26"/>
          <w:szCs w:val="26"/>
          <w:lang w:eastAsia="es-UY"/>
          <w14:ligatures w14:val="none"/>
        </w:rPr>
        <w:t> , </w:t>
      </w:r>
      <w:r w:rsidRPr="00E94696">
        <w:rPr>
          <w:rFonts w:ascii="Arial" w:eastAsia="Times New Roman" w:hAnsi="Arial" w:cs="Arial"/>
          <w:b/>
          <w:bCs/>
          <w:color w:val="333333"/>
          <w:kern w:val="0"/>
          <w:sz w:val="26"/>
          <w:szCs w:val="26"/>
          <w:lang w:eastAsia="es-UY"/>
          <w14:ligatures w14:val="none"/>
        </w:rPr>
        <w:t>Amuri</w:t>
      </w:r>
      <w:r w:rsidRPr="00E94696">
        <w:rPr>
          <w:rFonts w:ascii="Arial" w:eastAsia="Times New Roman" w:hAnsi="Arial" w:cs="Arial"/>
          <w:color w:val="333333"/>
          <w:kern w:val="0"/>
          <w:sz w:val="26"/>
          <w:szCs w:val="26"/>
          <w:lang w:eastAsia="es-UY"/>
          <w14:ligatures w14:val="none"/>
        </w:rPr>
        <w:t> y </w:t>
      </w:r>
      <w:r w:rsidRPr="00E94696">
        <w:rPr>
          <w:rFonts w:ascii="Arial" w:eastAsia="Times New Roman" w:hAnsi="Arial" w:cs="Arial"/>
          <w:b/>
          <w:bCs/>
          <w:color w:val="333333"/>
          <w:kern w:val="0"/>
          <w:sz w:val="26"/>
          <w:szCs w:val="26"/>
          <w:lang w:eastAsia="es-UY"/>
          <w14:ligatures w14:val="none"/>
        </w:rPr>
        <w:t>al-Khatib</w:t>
      </w:r>
      <w:r w:rsidRPr="00E94696">
        <w:rPr>
          <w:rFonts w:ascii="Arial" w:eastAsia="Times New Roman" w:hAnsi="Arial" w:cs="Arial"/>
          <w:color w:val="333333"/>
          <w:kern w:val="0"/>
          <w:sz w:val="26"/>
          <w:szCs w:val="26"/>
          <w:lang w:eastAsia="es-UY"/>
          <w14:ligatures w14:val="none"/>
        </w:rPr>
        <w:t> están siendo investigados por la División de Investigación Criminal de la Policía Militar. Añade que la gran mayoría de los palestinos abatidos por las tropas de las FDI estaban involucrados en actividades terroristas.</w:t>
      </w:r>
    </w:p>
    <w:p w14:paraId="2B533004" w14:textId="77777777" w:rsidR="00E94696" w:rsidRDefault="00E94696"/>
    <w:p w14:paraId="5CBE5B7F" w14:textId="1F682F56" w:rsidR="00E94696" w:rsidRDefault="00E94696">
      <w:hyperlink r:id="rId11" w:history="1">
        <w:r w:rsidRPr="009458EB">
          <w:rPr>
            <w:rStyle w:val="Hipervnculo"/>
          </w:rPr>
          <w:t>https://www.ihu.unisinos.br/667915-licenca-para-matar-como-israel-assassina-centenas-de-criancas-palestinas-impunemente-na-cisjordania</w:t>
        </w:r>
      </w:hyperlink>
    </w:p>
    <w:p w14:paraId="4ACA6E75" w14:textId="77777777" w:rsidR="00E94696" w:rsidRDefault="00E94696"/>
    <w:sectPr w:rsidR="00E946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96"/>
    <w:rsid w:val="007061CE"/>
    <w:rsid w:val="00E94696"/>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1D697"/>
  <w15:chartTrackingRefBased/>
  <w15:docId w15:val="{B52187CE-1959-4607-8671-2F6A6CEE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946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946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946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946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946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946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946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946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9469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469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9469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9469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9469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9469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9469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9469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9469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94696"/>
    <w:rPr>
      <w:rFonts w:eastAsiaTheme="majorEastAsia" w:cstheme="majorBidi"/>
      <w:color w:val="272727" w:themeColor="text1" w:themeTint="D8"/>
    </w:rPr>
  </w:style>
  <w:style w:type="paragraph" w:styleId="Ttulo">
    <w:name w:val="Title"/>
    <w:basedOn w:val="Normal"/>
    <w:next w:val="Normal"/>
    <w:link w:val="TtuloCar"/>
    <w:uiPriority w:val="10"/>
    <w:qFormat/>
    <w:rsid w:val="00E94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9469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9469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9469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94696"/>
    <w:pPr>
      <w:spacing w:before="160"/>
      <w:jc w:val="center"/>
    </w:pPr>
    <w:rPr>
      <w:i/>
      <w:iCs/>
      <w:color w:val="404040" w:themeColor="text1" w:themeTint="BF"/>
    </w:rPr>
  </w:style>
  <w:style w:type="character" w:customStyle="1" w:styleId="CitaCar">
    <w:name w:val="Cita Car"/>
    <w:basedOn w:val="Fuentedeprrafopredeter"/>
    <w:link w:val="Cita"/>
    <w:uiPriority w:val="29"/>
    <w:rsid w:val="00E94696"/>
    <w:rPr>
      <w:i/>
      <w:iCs/>
      <w:color w:val="404040" w:themeColor="text1" w:themeTint="BF"/>
    </w:rPr>
  </w:style>
  <w:style w:type="paragraph" w:styleId="Prrafodelista">
    <w:name w:val="List Paragraph"/>
    <w:basedOn w:val="Normal"/>
    <w:uiPriority w:val="34"/>
    <w:qFormat/>
    <w:rsid w:val="00E94696"/>
    <w:pPr>
      <w:ind w:left="720"/>
      <w:contextualSpacing/>
    </w:pPr>
  </w:style>
  <w:style w:type="character" w:styleId="nfasisintenso">
    <w:name w:val="Intense Emphasis"/>
    <w:basedOn w:val="Fuentedeprrafopredeter"/>
    <w:uiPriority w:val="21"/>
    <w:qFormat/>
    <w:rsid w:val="00E94696"/>
    <w:rPr>
      <w:i/>
      <w:iCs/>
      <w:color w:val="0F4761" w:themeColor="accent1" w:themeShade="BF"/>
    </w:rPr>
  </w:style>
  <w:style w:type="paragraph" w:styleId="Citadestacada">
    <w:name w:val="Intense Quote"/>
    <w:basedOn w:val="Normal"/>
    <w:next w:val="Normal"/>
    <w:link w:val="CitadestacadaCar"/>
    <w:uiPriority w:val="30"/>
    <w:qFormat/>
    <w:rsid w:val="00E94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94696"/>
    <w:rPr>
      <w:i/>
      <w:iCs/>
      <w:color w:val="0F4761" w:themeColor="accent1" w:themeShade="BF"/>
    </w:rPr>
  </w:style>
  <w:style w:type="character" w:styleId="Referenciaintensa">
    <w:name w:val="Intense Reference"/>
    <w:basedOn w:val="Fuentedeprrafopredeter"/>
    <w:uiPriority w:val="32"/>
    <w:qFormat/>
    <w:rsid w:val="00E94696"/>
    <w:rPr>
      <w:b/>
      <w:bCs/>
      <w:smallCaps/>
      <w:color w:val="0F4761" w:themeColor="accent1" w:themeShade="BF"/>
      <w:spacing w:val="5"/>
    </w:rPr>
  </w:style>
  <w:style w:type="character" w:styleId="Hipervnculo">
    <w:name w:val="Hyperlink"/>
    <w:basedOn w:val="Fuentedeprrafopredeter"/>
    <w:uiPriority w:val="99"/>
    <w:unhideWhenUsed/>
    <w:rsid w:val="00E94696"/>
    <w:rPr>
      <w:color w:val="467886" w:themeColor="hyperlink"/>
      <w:u w:val="single"/>
    </w:rPr>
  </w:style>
  <w:style w:type="character" w:styleId="Mencinsinresolver">
    <w:name w:val="Unresolved Mention"/>
    <w:basedOn w:val="Fuentedeprrafopredeter"/>
    <w:uiPriority w:val="99"/>
    <w:semiHidden/>
    <w:unhideWhenUsed/>
    <w:rsid w:val="00E94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hu.unisinos.br/categorias/637429-criancas-mortas-por-israel-em-quatro-meses-excedem-aquelas-em-quatro-anos-de-guerras-ao-redor-do-mund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hu.unisinos.br/667528-a-guerra-sem-testemunhas-que-devora-gaza-e-a-cisjordania-artigo-de-anna-fo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guardian.com/international" TargetMode="External"/><Relationship Id="rId11" Type="http://schemas.openxmlformats.org/officeDocument/2006/relationships/hyperlink" Target="https://www.ihu.unisinos.br/667915-licenca-para-matar-como-israel-assassina-centenas-de-criancas-palestinas-impunemente-na-cisjordania" TargetMode="External"/><Relationship Id="rId5" Type="http://schemas.openxmlformats.org/officeDocument/2006/relationships/hyperlink" Target="https://www.eldiario.es/internacional/theguardian/licencia-matar-israel-asesina-impunidad-centenares-ninos-palestinos-cisjordania_1_13347061.html" TargetMode="External"/><Relationship Id="rId10" Type="http://schemas.openxmlformats.org/officeDocument/2006/relationships/hyperlink" Target="https://ihu.unisinos.br/categorias/653072-em-gaza-poeira-e-escombros-aqui-as-bombas-das-fdi-apagam-ate-as-sombras" TargetMode="External"/><Relationship Id="rId4" Type="http://schemas.openxmlformats.org/officeDocument/2006/relationships/image" Target="media/image1.png"/><Relationship Id="rId9" Type="http://schemas.openxmlformats.org/officeDocument/2006/relationships/hyperlink" Target="https://www.ihu.unisinos.br/667680-comissao-da-onu-acusa-israel-de-visar-criancas-palestinas-e-denuncia-genocidio-em-gaz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1271</Words>
  <Characters>6994</Characters>
  <Application>Microsoft Office Word</Application>
  <DocSecurity>0</DocSecurity>
  <Lines>58</Lines>
  <Paragraphs>16</Paragraphs>
  <ScaleCrop>false</ScaleCrop>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2026-07-02T14:20:00Z</dcterms:created>
  <dcterms:modified xsi:type="dcterms:W3CDTF">2026-07-02T14:22:00Z</dcterms:modified>
</cp:coreProperties>
</file>