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75A39" w14:textId="148FD84C" w:rsidR="004437C4" w:rsidRDefault="004437C4" w:rsidP="005318CE">
      <w:pPr>
        <w:spacing w:after="0" w:line="240" w:lineRule="auto"/>
        <w:rPr>
          <w:rFonts w:ascii="Arial" w:eastAsia="Times New Roman" w:hAnsi="Arial" w:cs="Arial"/>
          <w:color w:val="666666"/>
          <w:kern w:val="0"/>
          <w:sz w:val="21"/>
          <w:szCs w:val="21"/>
          <w:lang w:eastAsia="es-UY"/>
          <w14:ligatures w14:val="none"/>
        </w:rPr>
      </w:pPr>
      <w:r w:rsidRPr="004437C4">
        <w:rPr>
          <w:rFonts w:ascii="Arial" w:eastAsia="Times New Roman" w:hAnsi="Arial" w:cs="Arial"/>
          <w:color w:val="666666"/>
          <w:kern w:val="0"/>
          <w:sz w:val="21"/>
          <w:szCs w:val="21"/>
          <w:lang w:eastAsia="es-UY"/>
          <w14:ligatures w14:val="none"/>
        </w:rPr>
        <w:drawing>
          <wp:inline distT="0" distB="0" distL="0" distR="0" wp14:anchorId="6D698B7D" wp14:editId="2C08541B">
            <wp:extent cx="5400040" cy="2577465"/>
            <wp:effectExtent l="0" t="0" r="0" b="0"/>
            <wp:docPr id="1093095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95819" name=""/>
                    <pic:cNvPicPr/>
                  </pic:nvPicPr>
                  <pic:blipFill>
                    <a:blip r:embed="rId4"/>
                    <a:stretch>
                      <a:fillRect/>
                    </a:stretch>
                  </pic:blipFill>
                  <pic:spPr>
                    <a:xfrm>
                      <a:off x="0" y="0"/>
                      <a:ext cx="5400040" cy="2577465"/>
                    </a:xfrm>
                    <a:prstGeom prst="rect">
                      <a:avLst/>
                    </a:prstGeom>
                  </pic:spPr>
                </pic:pic>
              </a:graphicData>
            </a:graphic>
          </wp:inline>
        </w:drawing>
      </w:r>
    </w:p>
    <w:p w14:paraId="6F8B6E89" w14:textId="5803036D" w:rsidR="005318CE" w:rsidRPr="005318CE" w:rsidRDefault="005318CE" w:rsidP="005318CE">
      <w:pPr>
        <w:spacing w:after="0" w:line="240" w:lineRule="auto"/>
        <w:rPr>
          <w:rFonts w:ascii="Arial" w:eastAsia="Times New Roman" w:hAnsi="Arial" w:cs="Arial"/>
          <w:color w:val="666666"/>
          <w:kern w:val="0"/>
          <w:sz w:val="21"/>
          <w:szCs w:val="21"/>
          <w:lang w:eastAsia="es-UY"/>
          <w14:ligatures w14:val="none"/>
        </w:rPr>
      </w:pPr>
      <w:r w:rsidRPr="005318CE">
        <w:rPr>
          <w:rFonts w:ascii="Arial" w:eastAsia="Times New Roman" w:hAnsi="Arial" w:cs="Arial"/>
          <w:color w:val="666666"/>
          <w:kern w:val="0"/>
          <w:sz w:val="21"/>
          <w:szCs w:val="21"/>
          <w:lang w:eastAsia="es-UY"/>
          <w14:ligatures w14:val="none"/>
        </w:rPr>
        <w:t>Por: </w:t>
      </w:r>
      <w:r w:rsidRPr="005318CE">
        <w:rPr>
          <w:rFonts w:ascii="Arial" w:eastAsia="Times New Roman" w:hAnsi="Arial" w:cs="Arial"/>
          <w:b/>
          <w:bCs/>
          <w:color w:val="666666"/>
          <w:kern w:val="0"/>
          <w:sz w:val="21"/>
          <w:szCs w:val="21"/>
          <w:lang w:eastAsia="es-UY"/>
          <w14:ligatures w14:val="none"/>
        </w:rPr>
        <w:t>Patricia Fachin |</w:t>
      </w:r>
      <w:r w:rsidRPr="005318CE">
        <w:rPr>
          <w:rFonts w:ascii="Arial" w:eastAsia="Times New Roman" w:hAnsi="Arial" w:cs="Arial"/>
          <w:color w:val="666666"/>
          <w:kern w:val="0"/>
          <w:sz w:val="21"/>
          <w:szCs w:val="21"/>
          <w:lang w:eastAsia="es-UY"/>
          <w14:ligatures w14:val="none"/>
        </w:rPr>
        <w:t> 1 de julio de 2026</w:t>
      </w:r>
    </w:p>
    <w:p w14:paraId="74BAAA10"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p>
    <w:p w14:paraId="531C81F1" w14:textId="28DB00CE"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La reciente aprobación </w:t>
      </w:r>
      <w:hyperlink r:id="rId5" w:tgtFrame="_blank" w:history="1">
        <w:r w:rsidRPr="005318CE">
          <w:rPr>
            <w:rFonts w:ascii="Arial" w:eastAsia="Times New Roman" w:hAnsi="Arial" w:cs="Arial"/>
            <w:color w:val="FC6B01"/>
            <w:kern w:val="0"/>
            <w:u w:val="single"/>
            <w:lang w:eastAsia="es-UY"/>
            <w14:ligatures w14:val="none"/>
          </w:rPr>
          <w:t>por la Comisión de Constitución y Justicia (CCJ)</w:t>
        </w:r>
      </w:hyperlink>
      <w:r w:rsidRPr="005318CE">
        <w:rPr>
          <w:rFonts w:ascii="Arial" w:eastAsia="Times New Roman" w:hAnsi="Arial" w:cs="Arial"/>
          <w:color w:val="666666"/>
          <w:kern w:val="0"/>
          <w:lang w:eastAsia="es-UY"/>
          <w14:ligatures w14:val="none"/>
        </w:rPr>
        <w:t> de la </w:t>
      </w:r>
      <w:r w:rsidRPr="005318CE">
        <w:rPr>
          <w:rFonts w:ascii="Arial" w:eastAsia="Times New Roman" w:hAnsi="Arial" w:cs="Arial"/>
          <w:b/>
          <w:bCs/>
          <w:color w:val="666666"/>
          <w:kern w:val="0"/>
          <w:lang w:eastAsia="es-UY"/>
          <w14:ligatures w14:val="none"/>
        </w:rPr>
        <w:t>Cámara de Diputados</w:t>
      </w:r>
      <w:r w:rsidRPr="005318CE">
        <w:rPr>
          <w:rFonts w:ascii="Arial" w:eastAsia="Times New Roman" w:hAnsi="Arial" w:cs="Arial"/>
          <w:color w:val="666666"/>
          <w:kern w:val="0"/>
          <w:lang w:eastAsia="es-UY"/>
          <w14:ligatures w14:val="none"/>
        </w:rPr>
        <w:t> de la reducción de la edad de responsabilidad penal  es sintomática de un problema social más profundo: </w:t>
      </w:r>
      <w:r w:rsidRPr="005318CE">
        <w:rPr>
          <w:rFonts w:ascii="Arial" w:eastAsia="Times New Roman" w:hAnsi="Arial" w:cs="Arial"/>
          <w:b/>
          <w:bCs/>
          <w:color w:val="666666"/>
          <w:kern w:val="0"/>
          <w:lang w:eastAsia="es-UY"/>
          <w14:ligatures w14:val="none"/>
        </w:rPr>
        <w:t>la inseguridad pública</w:t>
      </w:r>
      <w:r w:rsidRPr="005318CE">
        <w:rPr>
          <w:rFonts w:ascii="Arial" w:eastAsia="Times New Roman" w:hAnsi="Arial" w:cs="Arial"/>
          <w:color w:val="666666"/>
          <w:kern w:val="0"/>
          <w:lang w:eastAsia="es-UY"/>
          <w14:ligatures w14:val="none"/>
        </w:rPr>
        <w:t> en el país. Según </w:t>
      </w: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w:t>
      </w:r>
      <w:r w:rsidRPr="005318CE">
        <w:rPr>
          <w:rFonts w:ascii="Arial" w:eastAsia="Times New Roman" w:hAnsi="Arial" w:cs="Arial"/>
          <w:color w:val="666666"/>
          <w:kern w:val="0"/>
          <w:lang w:eastAsia="es-UY"/>
          <w14:ligatures w14:val="none"/>
        </w:rPr>
        <w:t> , es en este contexto que la </w:t>
      </w:r>
      <w:r w:rsidRPr="005318CE">
        <w:rPr>
          <w:rFonts w:ascii="Arial" w:eastAsia="Times New Roman" w:hAnsi="Arial" w:cs="Arial"/>
          <w:b/>
          <w:bCs/>
          <w:color w:val="666666"/>
          <w:kern w:val="0"/>
          <w:lang w:eastAsia="es-UY"/>
          <w14:ligatures w14:val="none"/>
        </w:rPr>
        <w:t>Propuesta de Enmienda a la Constitución</w:t>
      </w:r>
      <w:r w:rsidRPr="005318CE">
        <w:rPr>
          <w:rFonts w:ascii="Arial" w:eastAsia="Times New Roman" w:hAnsi="Arial" w:cs="Arial"/>
          <w:color w:val="666666"/>
          <w:kern w:val="0"/>
          <w:lang w:eastAsia="es-UY"/>
          <w14:ligatures w14:val="none"/>
        </w:rPr>
        <w:t> ( </w:t>
      </w:r>
      <w:r w:rsidRPr="005318CE">
        <w:rPr>
          <w:rFonts w:ascii="Arial" w:eastAsia="Times New Roman" w:hAnsi="Arial" w:cs="Arial"/>
          <w:b/>
          <w:bCs/>
          <w:color w:val="666666"/>
          <w:kern w:val="0"/>
          <w:lang w:eastAsia="es-UY"/>
          <w14:ligatures w14:val="none"/>
        </w:rPr>
        <w:t>PEC</w:t>
      </w:r>
      <w:r w:rsidRPr="005318CE">
        <w:rPr>
          <w:rFonts w:ascii="Arial" w:eastAsia="Times New Roman" w:hAnsi="Arial" w:cs="Arial"/>
          <w:color w:val="666666"/>
          <w:kern w:val="0"/>
          <w:lang w:eastAsia="es-UY"/>
          <w14:ligatures w14:val="none"/>
        </w:rPr>
        <w:t> ) del diputado </w:t>
      </w:r>
      <w:r w:rsidRPr="005318CE">
        <w:rPr>
          <w:rFonts w:ascii="Arial" w:eastAsia="Times New Roman" w:hAnsi="Arial" w:cs="Arial"/>
          <w:b/>
          <w:bCs/>
          <w:color w:val="666666"/>
          <w:kern w:val="0"/>
          <w:lang w:eastAsia="es-UY"/>
          <w14:ligatures w14:val="none"/>
        </w:rPr>
        <w:t>Gonzaga Patriota</w:t>
      </w:r>
      <w:r w:rsidRPr="005318CE">
        <w:rPr>
          <w:rFonts w:ascii="Arial" w:eastAsia="Times New Roman" w:hAnsi="Arial" w:cs="Arial"/>
          <w:color w:val="666666"/>
          <w:kern w:val="0"/>
          <w:lang w:eastAsia="es-UY"/>
          <w14:ligatures w14:val="none"/>
        </w:rPr>
        <w:t> (PSB/PE) cobró fuerza política y apoyo social, independientemente de su efectividad para </w:t>
      </w:r>
      <w:hyperlink r:id="rId6" w:tgtFrame="_blank" w:history="1">
        <w:r w:rsidRPr="005318CE">
          <w:rPr>
            <w:rFonts w:ascii="Arial" w:eastAsia="Times New Roman" w:hAnsi="Arial" w:cs="Arial"/>
            <w:color w:val="FC6B01"/>
            <w:kern w:val="0"/>
            <w:u w:val="single"/>
            <w:lang w:eastAsia="es-UY"/>
            <w14:ligatures w14:val="none"/>
          </w:rPr>
          <w:t>reducir la delincuencia</w:t>
        </w:r>
      </w:hyperlink>
      <w:r w:rsidRPr="005318CE">
        <w:rPr>
          <w:rFonts w:ascii="Arial" w:eastAsia="Times New Roman" w:hAnsi="Arial" w:cs="Arial"/>
          <w:color w:val="666666"/>
          <w:kern w:val="0"/>
          <w:lang w:eastAsia="es-UY"/>
          <w14:ligatures w14:val="none"/>
        </w:rPr>
        <w:t> . "La sensación de que el Estado aún no ha podido ofrecer respuestas satisfactorias a la seguridad pública provoca que las propuestas de penas más severas reaparezcan cíclicamente en el </w:t>
      </w:r>
      <w:r w:rsidRPr="005318CE">
        <w:rPr>
          <w:rFonts w:ascii="Arial" w:eastAsia="Times New Roman" w:hAnsi="Arial" w:cs="Arial"/>
          <w:b/>
          <w:bCs/>
          <w:color w:val="666666"/>
          <w:kern w:val="0"/>
          <w:lang w:eastAsia="es-UY"/>
          <w14:ligatures w14:val="none"/>
        </w:rPr>
        <w:t>Congreso Nacional</w:t>
      </w:r>
      <w:r w:rsidRPr="005318CE">
        <w:rPr>
          <w:rFonts w:ascii="Arial" w:eastAsia="Times New Roman" w:hAnsi="Arial" w:cs="Arial"/>
          <w:color w:val="666666"/>
          <w:kern w:val="0"/>
          <w:lang w:eastAsia="es-UY"/>
          <w14:ligatures w14:val="none"/>
        </w:rPr>
        <w:t> ", señala. </w:t>
      </w:r>
    </w:p>
    <w:p w14:paraId="01379D1B"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07B1E447"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En la siguiente entrevista, realizada por correo electrónico al </w:t>
      </w:r>
      <w:r w:rsidRPr="005318CE">
        <w:rPr>
          <w:rFonts w:ascii="Arial" w:eastAsia="Times New Roman" w:hAnsi="Arial" w:cs="Arial"/>
          <w:b/>
          <w:bCs/>
          <w:color w:val="666666"/>
          <w:kern w:val="0"/>
          <w:lang w:eastAsia="es-UY"/>
          <w14:ligatures w14:val="none"/>
        </w:rPr>
        <w:t xml:space="preserve">Instituto </w:t>
      </w:r>
      <w:proofErr w:type="spellStart"/>
      <w:r w:rsidRPr="005318CE">
        <w:rPr>
          <w:rFonts w:ascii="Arial" w:eastAsia="Times New Roman" w:hAnsi="Arial" w:cs="Arial"/>
          <w:b/>
          <w:bCs/>
          <w:color w:val="666666"/>
          <w:kern w:val="0"/>
          <w:lang w:eastAsia="es-UY"/>
          <w14:ligatures w14:val="none"/>
        </w:rPr>
        <w:t>Humanitas</w:t>
      </w:r>
      <w:proofErr w:type="spellEnd"/>
      <w:r w:rsidRPr="005318CE">
        <w:rPr>
          <w:rFonts w:ascii="Arial" w:eastAsia="Times New Roman" w:hAnsi="Arial" w:cs="Arial"/>
          <w:b/>
          <w:bCs/>
          <w:color w:val="666666"/>
          <w:kern w:val="0"/>
          <w:lang w:eastAsia="es-UY"/>
          <w14:ligatures w14:val="none"/>
        </w:rPr>
        <w:t xml:space="preserve"> </w:t>
      </w:r>
      <w:proofErr w:type="spellStart"/>
      <w:r w:rsidRPr="005318CE">
        <w:rPr>
          <w:rFonts w:ascii="Arial" w:eastAsia="Times New Roman" w:hAnsi="Arial" w:cs="Arial"/>
          <w:b/>
          <w:bCs/>
          <w:color w:val="666666"/>
          <w:kern w:val="0"/>
          <w:lang w:eastAsia="es-UY"/>
          <w14:ligatures w14:val="none"/>
        </w:rPr>
        <w:t>Unisinos</w:t>
      </w:r>
      <w:proofErr w:type="spellEnd"/>
      <w:r w:rsidRPr="005318CE">
        <w:rPr>
          <w:rFonts w:ascii="Arial" w:eastAsia="Times New Roman" w:hAnsi="Arial" w:cs="Arial"/>
          <w:b/>
          <w:bCs/>
          <w:color w:val="666666"/>
          <w:kern w:val="0"/>
          <w:lang w:eastAsia="es-UY"/>
          <w14:ligatures w14:val="none"/>
        </w:rPr>
        <w:t xml:space="preserve"> – IHU</w:t>
      </w:r>
      <w:r w:rsidRPr="005318CE">
        <w:rPr>
          <w:rFonts w:ascii="Arial" w:eastAsia="Times New Roman" w:hAnsi="Arial" w:cs="Arial"/>
          <w:color w:val="666666"/>
          <w:kern w:val="0"/>
          <w:lang w:eastAsia="es-UY"/>
          <w14:ligatures w14:val="none"/>
        </w:rPr>
        <w:t> , </w:t>
      </w:r>
      <w:r w:rsidRPr="005318CE">
        <w:rPr>
          <w:rFonts w:ascii="Arial" w:eastAsia="Times New Roman" w:hAnsi="Arial" w:cs="Arial"/>
          <w:b/>
          <w:bCs/>
          <w:color w:val="666666"/>
          <w:kern w:val="0"/>
          <w:lang w:eastAsia="es-UY"/>
          <w14:ligatures w14:val="none"/>
        </w:rPr>
        <w:t>Castro</w:t>
      </w:r>
      <w:r w:rsidRPr="005318CE">
        <w:rPr>
          <w:rFonts w:ascii="Arial" w:eastAsia="Times New Roman" w:hAnsi="Arial" w:cs="Arial"/>
          <w:color w:val="666666"/>
          <w:kern w:val="0"/>
          <w:lang w:eastAsia="es-UY"/>
          <w14:ligatures w14:val="none"/>
        </w:rPr>
        <w:t> explica las controversias legales en torno a la interpretación de la naturaleza de la cláusula fundamental atribuida al </w:t>
      </w:r>
      <w:r w:rsidRPr="005318CE">
        <w:rPr>
          <w:rFonts w:ascii="Arial" w:eastAsia="Times New Roman" w:hAnsi="Arial" w:cs="Arial"/>
          <w:b/>
          <w:bCs/>
          <w:color w:val="666666"/>
          <w:kern w:val="0"/>
          <w:lang w:eastAsia="es-UY"/>
          <w14:ligatures w14:val="none"/>
        </w:rPr>
        <w:t>artículo 228</w:t>
      </w:r>
      <w:r w:rsidRPr="005318CE">
        <w:rPr>
          <w:rFonts w:ascii="Arial" w:eastAsia="Times New Roman" w:hAnsi="Arial" w:cs="Arial"/>
          <w:color w:val="666666"/>
          <w:kern w:val="0"/>
          <w:lang w:eastAsia="es-UY"/>
          <w14:ligatures w14:val="none"/>
        </w:rPr>
        <w:t> de la </w:t>
      </w:r>
      <w:r w:rsidRPr="005318CE">
        <w:rPr>
          <w:rFonts w:ascii="Arial" w:eastAsia="Times New Roman" w:hAnsi="Arial" w:cs="Arial"/>
          <w:b/>
          <w:bCs/>
          <w:color w:val="666666"/>
          <w:kern w:val="0"/>
          <w:lang w:eastAsia="es-UY"/>
          <w14:ligatures w14:val="none"/>
        </w:rPr>
        <w:t>Constitución Federal</w:t>
      </w:r>
      <w:r w:rsidRPr="005318CE">
        <w:rPr>
          <w:rFonts w:ascii="Arial" w:eastAsia="Times New Roman" w:hAnsi="Arial" w:cs="Arial"/>
          <w:color w:val="666666"/>
          <w:kern w:val="0"/>
          <w:lang w:eastAsia="es-UY"/>
          <w14:ligatures w14:val="none"/>
        </w:rPr>
        <w:t> , que podría hacer inconstitucional la propuesta. Según esta disposición, los menores de 18 años son penalmente irresponsables. “Esta es precisamente una de las principales controversias legales relacionadas con la reducción de la edad de responsabilidad penal. No existe consenso en la doctrina constitucional sobre el tema”, explica. </w:t>
      </w:r>
    </w:p>
    <w:p w14:paraId="12F50BE0"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4E8F3695"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Según el entrevistado, uno de los puntos preocupantes de este debate es el efecto práctico que esta medida podría tener sobre los jóvenes sometidos al sistema de justicia penal, en caso de ser aprobada por la </w:t>
      </w:r>
      <w:r w:rsidRPr="005318CE">
        <w:rPr>
          <w:rFonts w:ascii="Arial" w:eastAsia="Times New Roman" w:hAnsi="Arial" w:cs="Arial"/>
          <w:b/>
          <w:bCs/>
          <w:color w:val="666666"/>
          <w:kern w:val="0"/>
          <w:lang w:eastAsia="es-UY"/>
          <w14:ligatures w14:val="none"/>
        </w:rPr>
        <w:t>Cámara</w:t>
      </w:r>
      <w:r w:rsidRPr="005318CE">
        <w:rPr>
          <w:rFonts w:ascii="Arial" w:eastAsia="Times New Roman" w:hAnsi="Arial" w:cs="Arial"/>
          <w:color w:val="666666"/>
          <w:kern w:val="0"/>
          <w:lang w:eastAsia="es-UY"/>
          <w14:ligatures w14:val="none"/>
        </w:rPr>
        <w:t> de Diputados , el </w:t>
      </w:r>
      <w:r w:rsidRPr="005318CE">
        <w:rPr>
          <w:rFonts w:ascii="Arial" w:eastAsia="Times New Roman" w:hAnsi="Arial" w:cs="Arial"/>
          <w:b/>
          <w:bCs/>
          <w:color w:val="666666"/>
          <w:kern w:val="0"/>
          <w:lang w:eastAsia="es-UY"/>
          <w14:ligatures w14:val="none"/>
        </w:rPr>
        <w:t>Senado</w:t>
      </w:r>
      <w:r w:rsidRPr="005318CE">
        <w:rPr>
          <w:rFonts w:ascii="Arial" w:eastAsia="Times New Roman" w:hAnsi="Arial" w:cs="Arial"/>
          <w:color w:val="666666"/>
          <w:kern w:val="0"/>
          <w:lang w:eastAsia="es-UY"/>
          <w14:ligatures w14:val="none"/>
        </w:rPr>
        <w:t> y promulgada por el Presidente de la República. "Considerando los problemas que históricamente ha enfrentado el sistema penitenciario brasileño, como </w:t>
      </w:r>
      <w:hyperlink r:id="rId7" w:tgtFrame="_blank" w:history="1">
        <w:r w:rsidRPr="005318CE">
          <w:rPr>
            <w:rFonts w:ascii="Arial" w:eastAsia="Times New Roman" w:hAnsi="Arial" w:cs="Arial"/>
            <w:color w:val="FC6B01"/>
            <w:kern w:val="0"/>
            <w:u w:val="single"/>
            <w:lang w:eastAsia="es-UY"/>
            <w14:ligatures w14:val="none"/>
          </w:rPr>
          <w:t>el hacinamiento</w:t>
        </w:r>
      </w:hyperlink>
      <w:r w:rsidRPr="005318CE">
        <w:rPr>
          <w:rFonts w:ascii="Arial" w:eastAsia="Times New Roman" w:hAnsi="Arial" w:cs="Arial"/>
          <w:color w:val="666666"/>
          <w:kern w:val="0"/>
          <w:lang w:eastAsia="es-UY"/>
          <w14:ligatures w14:val="none"/>
        </w:rPr>
        <w:t> , </w:t>
      </w:r>
      <w:hyperlink r:id="rId8" w:tgtFrame="_blank" w:history="1">
        <w:r w:rsidRPr="005318CE">
          <w:rPr>
            <w:rFonts w:ascii="Arial" w:eastAsia="Times New Roman" w:hAnsi="Arial" w:cs="Arial"/>
            <w:color w:val="FC6B01"/>
            <w:kern w:val="0"/>
            <w:u w:val="single"/>
            <w:lang w:eastAsia="es-UY"/>
            <w14:ligatures w14:val="none"/>
          </w:rPr>
          <w:t>las actividades de organizaciones criminales</w:t>
        </w:r>
      </w:hyperlink>
      <w:r w:rsidRPr="005318CE">
        <w:rPr>
          <w:rFonts w:ascii="Arial" w:eastAsia="Times New Roman" w:hAnsi="Arial" w:cs="Arial"/>
          <w:color w:val="666666"/>
          <w:kern w:val="0"/>
          <w:lang w:eastAsia="es-UY"/>
          <w14:ligatures w14:val="none"/>
        </w:rPr>
        <w:t> , las deficiencias estructurales y las limitaciones en la provisión de programas de rehabilitación, existe el temor de que el contacto temprano con este entorno pueda comprometer aún más las posibilidades de reintegración social para estos jóvenes", señala.</w:t>
      </w:r>
    </w:p>
    <w:p w14:paraId="5D86E69A"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672DD435"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Asegura que la prevención y el abordaje de la delincuencia juvenil dependen de un "enfoque integral" y no pueden reducirse a </w:t>
      </w:r>
      <w:r w:rsidRPr="005318CE">
        <w:rPr>
          <w:rFonts w:ascii="Arial" w:eastAsia="Times New Roman" w:hAnsi="Arial" w:cs="Arial"/>
          <w:b/>
          <w:bCs/>
          <w:color w:val="666666"/>
          <w:kern w:val="0"/>
          <w:lang w:eastAsia="es-UY"/>
          <w14:ligatures w14:val="none"/>
        </w:rPr>
        <w:t>una legislación punitiva</w:t>
      </w:r>
      <w:r w:rsidRPr="005318CE">
        <w:rPr>
          <w:rFonts w:ascii="Arial" w:eastAsia="Times New Roman" w:hAnsi="Arial" w:cs="Arial"/>
          <w:color w:val="666666"/>
          <w:kern w:val="0"/>
          <w:lang w:eastAsia="es-UY"/>
          <w14:ligatures w14:val="none"/>
        </w:rPr>
        <w:t xml:space="preserve"> . "La experiencia demuestra que las políticas más eficaces suelen ser aquellas que </w:t>
      </w:r>
      <w:r w:rsidRPr="005318CE">
        <w:rPr>
          <w:rFonts w:ascii="Arial" w:eastAsia="Times New Roman" w:hAnsi="Arial" w:cs="Arial"/>
          <w:color w:val="666666"/>
          <w:kern w:val="0"/>
          <w:lang w:eastAsia="es-UY"/>
          <w14:ligatures w14:val="none"/>
        </w:rPr>
        <w:lastRenderedPageBreak/>
        <w:t>combinan educación, asistencia social, oportunidades económicas, fortalecimiento comunitario y una rendición de cuentas adecuada para los adolescentes que cometen delitos", ejemplifica.</w:t>
      </w:r>
    </w:p>
    <w:p w14:paraId="6432EC8A" w14:textId="11167CB2" w:rsidR="005318CE" w:rsidRPr="005318CE" w:rsidRDefault="005318CE" w:rsidP="005318CE">
      <w:pPr>
        <w:spacing w:after="0" w:line="240" w:lineRule="auto"/>
        <w:rPr>
          <w:rFonts w:ascii="Times New Roman" w:eastAsia="Times New Roman" w:hAnsi="Times New Roman" w:cs="Times New Roman"/>
          <w:color w:val="000000"/>
          <w:kern w:val="0"/>
          <w:sz w:val="27"/>
          <w:szCs w:val="27"/>
          <w:lang w:eastAsia="es-UY"/>
          <w14:ligatures w14:val="none"/>
        </w:rPr>
      </w:pPr>
    </w:p>
    <w:p w14:paraId="10A94A92" w14:textId="26BA676C" w:rsidR="005318CE" w:rsidRPr="005318CE" w:rsidRDefault="005318CE" w:rsidP="005318CE">
      <w:pPr>
        <w:spacing w:after="0" w:line="240" w:lineRule="auto"/>
        <w:rPr>
          <w:rFonts w:ascii="Arial" w:eastAsia="Times New Roman" w:hAnsi="Arial" w:cs="Arial"/>
          <w:color w:val="666666"/>
          <w:kern w:val="0"/>
          <w:sz w:val="18"/>
          <w:szCs w:val="18"/>
          <w:lang w:eastAsia="es-UY"/>
          <w14:ligatures w14:val="none"/>
        </w:rPr>
      </w:pPr>
      <w:r w:rsidRPr="005318CE">
        <w:rPr>
          <w:rFonts w:ascii="Times New Roman" w:eastAsia="Times New Roman" w:hAnsi="Times New Roman" w:cs="Times New Roman"/>
          <w:noProof/>
          <w:color w:val="000000"/>
          <w:kern w:val="0"/>
          <w:sz w:val="27"/>
          <w:szCs w:val="27"/>
          <w:lang w:eastAsia="es-UY"/>
          <w14:ligatures w14:val="none"/>
        </w:rPr>
        <w:drawing>
          <wp:anchor distT="0" distB="0" distL="114300" distR="114300" simplePos="0" relativeHeight="251658240" behindDoc="1" locked="0" layoutInCell="1" allowOverlap="1" wp14:anchorId="73097DD2" wp14:editId="4F036457">
            <wp:simplePos x="0" y="0"/>
            <wp:positionH relativeFrom="margin">
              <wp:align>left</wp:align>
            </wp:positionH>
            <wp:positionV relativeFrom="paragraph">
              <wp:posOffset>8890</wp:posOffset>
            </wp:positionV>
            <wp:extent cx="1168400" cy="1555750"/>
            <wp:effectExtent l="0" t="0" r="0" b="6350"/>
            <wp:wrapTight wrapText="bothSides">
              <wp:wrapPolygon edited="0">
                <wp:start x="0" y="0"/>
                <wp:lineTo x="0" y="21424"/>
                <wp:lineTo x="21130" y="21424"/>
                <wp:lineTo x="2113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8CE">
        <w:rPr>
          <w:rFonts w:ascii="Arial" w:eastAsia="Times New Roman" w:hAnsi="Arial" w:cs="Arial"/>
          <w:b/>
          <w:bCs/>
          <w:color w:val="666666"/>
          <w:kern w:val="0"/>
          <w:sz w:val="18"/>
          <w:szCs w:val="18"/>
          <w:lang w:eastAsia="es-UY"/>
          <w14:ligatures w14:val="none"/>
        </w:rPr>
        <w:t xml:space="preserve">Alexander </w:t>
      </w:r>
      <w:proofErr w:type="spellStart"/>
      <w:r w:rsidRPr="005318CE">
        <w:rPr>
          <w:rFonts w:ascii="Arial" w:eastAsia="Times New Roman" w:hAnsi="Arial" w:cs="Arial"/>
          <w:b/>
          <w:bCs/>
          <w:color w:val="666666"/>
          <w:kern w:val="0"/>
          <w:sz w:val="18"/>
          <w:szCs w:val="18"/>
          <w:lang w:eastAsia="es-UY"/>
          <w14:ligatures w14:val="none"/>
        </w:rPr>
        <w:t>Rodrigues</w:t>
      </w:r>
      <w:proofErr w:type="spellEnd"/>
      <w:r w:rsidRPr="005318CE">
        <w:rPr>
          <w:rFonts w:ascii="Arial" w:eastAsia="Times New Roman" w:hAnsi="Arial" w:cs="Arial"/>
          <w:b/>
          <w:bCs/>
          <w:color w:val="666666"/>
          <w:kern w:val="0"/>
          <w:sz w:val="18"/>
          <w:szCs w:val="18"/>
          <w:lang w:eastAsia="es-UY"/>
          <w14:ligatures w14:val="none"/>
        </w:rPr>
        <w:t xml:space="preserve"> de Castro</w:t>
      </w:r>
      <w:r w:rsidRPr="005318CE">
        <w:rPr>
          <w:rFonts w:ascii="Arial" w:eastAsia="Times New Roman" w:hAnsi="Arial" w:cs="Arial"/>
          <w:color w:val="666666"/>
          <w:kern w:val="0"/>
          <w:sz w:val="18"/>
          <w:szCs w:val="18"/>
          <w:lang w:eastAsia="es-UY"/>
          <w14:ligatures w14:val="none"/>
        </w:rPr>
        <w:t xml:space="preserve"> (Foto: Universidad </w:t>
      </w:r>
      <w:proofErr w:type="spellStart"/>
      <w:r w:rsidRPr="005318CE">
        <w:rPr>
          <w:rFonts w:ascii="Arial" w:eastAsia="Times New Roman" w:hAnsi="Arial" w:cs="Arial"/>
          <w:color w:val="666666"/>
          <w:kern w:val="0"/>
          <w:sz w:val="18"/>
          <w:szCs w:val="18"/>
          <w:lang w:eastAsia="es-UY"/>
          <w14:ligatures w14:val="none"/>
        </w:rPr>
        <w:t>Cesumar</w:t>
      </w:r>
      <w:proofErr w:type="spellEnd"/>
      <w:r w:rsidRPr="005318CE">
        <w:rPr>
          <w:rFonts w:ascii="Arial" w:eastAsia="Times New Roman" w:hAnsi="Arial" w:cs="Arial"/>
          <w:color w:val="666666"/>
          <w:kern w:val="0"/>
          <w:sz w:val="18"/>
          <w:szCs w:val="18"/>
          <w:lang w:eastAsia="es-UY"/>
          <w14:ligatures w14:val="none"/>
        </w:rPr>
        <w:t>)</w:t>
      </w:r>
    </w:p>
    <w:p w14:paraId="72AA0B39" w14:textId="77777777" w:rsidR="005318CE" w:rsidRDefault="005318CE" w:rsidP="005318CE">
      <w:pPr>
        <w:spacing w:after="0" w:line="240" w:lineRule="auto"/>
        <w:jc w:val="both"/>
        <w:rPr>
          <w:rFonts w:ascii="Arial" w:eastAsia="Times New Roman" w:hAnsi="Arial" w:cs="Arial"/>
          <w:b/>
          <w:bCs/>
          <w:color w:val="666666"/>
          <w:kern w:val="0"/>
          <w:lang w:eastAsia="es-UY"/>
          <w14:ligatures w14:val="none"/>
        </w:rPr>
      </w:pPr>
    </w:p>
    <w:p w14:paraId="6BBE9A5A" w14:textId="77777777" w:rsidR="005318CE" w:rsidRDefault="005318CE" w:rsidP="005318CE">
      <w:pPr>
        <w:spacing w:after="0" w:line="240" w:lineRule="auto"/>
        <w:jc w:val="both"/>
        <w:rPr>
          <w:rFonts w:ascii="Arial" w:eastAsia="Times New Roman" w:hAnsi="Arial" w:cs="Arial"/>
          <w:b/>
          <w:bCs/>
          <w:color w:val="666666"/>
          <w:kern w:val="0"/>
          <w:lang w:eastAsia="es-UY"/>
          <w14:ligatures w14:val="none"/>
        </w:rPr>
      </w:pPr>
    </w:p>
    <w:p w14:paraId="499E6DBF" w14:textId="007D8E09"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w:t>
      </w:r>
      <w:r w:rsidRPr="005318CE">
        <w:rPr>
          <w:rFonts w:ascii="Arial" w:eastAsia="Times New Roman" w:hAnsi="Arial" w:cs="Arial"/>
          <w:color w:val="666666"/>
          <w:kern w:val="0"/>
          <w:lang w:eastAsia="es-UY"/>
          <w14:ligatures w14:val="none"/>
        </w:rPr>
        <w:t xml:space="preserve"> es licenciado en Derecho por la Universidad Estatal de </w:t>
      </w:r>
      <w:proofErr w:type="spellStart"/>
      <w:r w:rsidRPr="005318CE">
        <w:rPr>
          <w:rFonts w:ascii="Arial" w:eastAsia="Times New Roman" w:hAnsi="Arial" w:cs="Arial"/>
          <w:color w:val="666666"/>
          <w:kern w:val="0"/>
          <w:lang w:eastAsia="es-UY"/>
          <w14:ligatures w14:val="none"/>
        </w:rPr>
        <w:t>Maringá</w:t>
      </w:r>
      <w:proofErr w:type="spellEnd"/>
      <w:r w:rsidRPr="005318CE">
        <w:rPr>
          <w:rFonts w:ascii="Arial" w:eastAsia="Times New Roman" w:hAnsi="Arial" w:cs="Arial"/>
          <w:color w:val="666666"/>
          <w:kern w:val="0"/>
          <w:lang w:eastAsia="es-UY"/>
          <w14:ligatures w14:val="none"/>
        </w:rPr>
        <w:t xml:space="preserve"> (UEM), máster en Teoría y Filosofía del Derecho por la Universidad Federal de Santa Catarina (UFSC) y doctor en Teoría e Historia del Derecho por la Universidad de Florencia, Italia. Es profesor en la </w:t>
      </w:r>
      <w:proofErr w:type="spellStart"/>
      <w:r w:rsidRPr="005318CE">
        <w:rPr>
          <w:rFonts w:ascii="Arial" w:eastAsia="Times New Roman" w:hAnsi="Arial" w:cs="Arial"/>
          <w:color w:val="666666"/>
          <w:kern w:val="0"/>
          <w:lang w:eastAsia="es-UY"/>
          <w14:ligatures w14:val="none"/>
        </w:rPr>
        <w:t>UniCesumar</w:t>
      </w:r>
      <w:proofErr w:type="spellEnd"/>
      <w:r w:rsidRPr="005318CE">
        <w:rPr>
          <w:rFonts w:ascii="Arial" w:eastAsia="Times New Roman" w:hAnsi="Arial" w:cs="Arial"/>
          <w:color w:val="666666"/>
          <w:kern w:val="0"/>
          <w:lang w:eastAsia="es-UY"/>
          <w14:ligatures w14:val="none"/>
        </w:rPr>
        <w:t xml:space="preserve"> de </w:t>
      </w:r>
      <w:proofErr w:type="spellStart"/>
      <w:r w:rsidRPr="005318CE">
        <w:rPr>
          <w:rFonts w:ascii="Arial" w:eastAsia="Times New Roman" w:hAnsi="Arial" w:cs="Arial"/>
          <w:color w:val="666666"/>
          <w:kern w:val="0"/>
          <w:lang w:eastAsia="es-UY"/>
          <w14:ligatures w14:val="none"/>
        </w:rPr>
        <w:t>Maringá</w:t>
      </w:r>
      <w:proofErr w:type="spellEnd"/>
      <w:r w:rsidRPr="005318CE">
        <w:rPr>
          <w:rFonts w:ascii="Arial" w:eastAsia="Times New Roman" w:hAnsi="Arial" w:cs="Arial"/>
          <w:color w:val="666666"/>
          <w:kern w:val="0"/>
          <w:lang w:eastAsia="es-UY"/>
          <w14:ligatures w14:val="none"/>
        </w:rPr>
        <w:t>, Paraná.</w:t>
      </w:r>
    </w:p>
    <w:p w14:paraId="01AF01A4"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p>
    <w:p w14:paraId="5DE526C1" w14:textId="0AAF7824" w:rsidR="005318CE" w:rsidRDefault="005318CE" w:rsidP="005318CE">
      <w:pPr>
        <w:spacing w:after="0" w:line="240" w:lineRule="auto"/>
        <w:jc w:val="both"/>
        <w:outlineLvl w:val="1"/>
        <w:rPr>
          <w:rFonts w:ascii="Arial" w:eastAsia="Times New Roman" w:hAnsi="Arial" w:cs="Arial"/>
          <w:b/>
          <w:bCs/>
          <w:color w:val="000000"/>
          <w:kern w:val="0"/>
          <w:sz w:val="32"/>
          <w:szCs w:val="32"/>
          <w:lang w:eastAsia="es-UY"/>
          <w14:ligatures w14:val="none"/>
        </w:rPr>
      </w:pPr>
      <w:r>
        <w:rPr>
          <w:rFonts w:ascii="Arial" w:eastAsia="Times New Roman" w:hAnsi="Arial" w:cs="Arial"/>
          <w:b/>
          <w:bCs/>
          <w:color w:val="000000"/>
          <w:kern w:val="0"/>
          <w:sz w:val="32"/>
          <w:szCs w:val="32"/>
          <w:lang w:eastAsia="es-UY"/>
          <w14:ligatures w14:val="none"/>
        </w:rPr>
        <w:t>E</w:t>
      </w:r>
      <w:r w:rsidRPr="005318CE">
        <w:rPr>
          <w:rFonts w:ascii="Arial" w:eastAsia="Times New Roman" w:hAnsi="Arial" w:cs="Arial"/>
          <w:b/>
          <w:bCs/>
          <w:color w:val="000000"/>
          <w:kern w:val="0"/>
          <w:sz w:val="32"/>
          <w:szCs w:val="32"/>
          <w:lang w:eastAsia="es-UY"/>
          <w14:ligatures w14:val="none"/>
        </w:rPr>
        <w:t>ntrevista.</w:t>
      </w:r>
    </w:p>
    <w:p w14:paraId="11814C84" w14:textId="77777777" w:rsidR="005318CE" w:rsidRPr="005318CE" w:rsidRDefault="005318CE" w:rsidP="005318CE">
      <w:pPr>
        <w:spacing w:after="0" w:line="240" w:lineRule="auto"/>
        <w:jc w:val="both"/>
        <w:outlineLvl w:val="1"/>
        <w:rPr>
          <w:rFonts w:ascii="Arial" w:eastAsia="Times New Roman" w:hAnsi="Arial" w:cs="Arial"/>
          <w:b/>
          <w:bCs/>
          <w:color w:val="000000"/>
          <w:kern w:val="0"/>
          <w:sz w:val="32"/>
          <w:szCs w:val="32"/>
          <w:lang w:eastAsia="es-UY"/>
          <w14:ligatures w14:val="none"/>
        </w:rPr>
      </w:pPr>
    </w:p>
    <w:p w14:paraId="3B0CA94F" w14:textId="77777777" w:rsid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¿Qué explica la aprobación de la reducción de la edad de responsabilidad penal en la Comisión de Constitución y Justicia (CCJ) de la Cámara de Diputados?</w:t>
      </w:r>
    </w:p>
    <w:p w14:paraId="2F960B17"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6FC80474"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La aprobación de la propuesta en la </w:t>
      </w:r>
      <w:r w:rsidRPr="005318CE">
        <w:rPr>
          <w:rFonts w:ascii="Arial" w:eastAsia="Times New Roman" w:hAnsi="Arial" w:cs="Arial"/>
          <w:b/>
          <w:bCs/>
          <w:color w:val="666666"/>
          <w:kern w:val="0"/>
          <w:lang w:eastAsia="es-UY"/>
          <w14:ligatures w14:val="none"/>
        </w:rPr>
        <w:t>CCJ (Comisión</w:t>
      </w:r>
      <w:r w:rsidRPr="005318CE">
        <w:rPr>
          <w:rFonts w:ascii="Arial" w:eastAsia="Times New Roman" w:hAnsi="Arial" w:cs="Arial"/>
          <w:color w:val="666666"/>
          <w:kern w:val="0"/>
          <w:lang w:eastAsia="es-UY"/>
          <w14:ligatures w14:val="none"/>
        </w:rPr>
        <w:t> de Constitución, Justicia y Ciudadanía ) se explica por la convergencia de factores políticos, sociales e institucionales. En primer lugar, la </w:t>
      </w:r>
      <w:hyperlink r:id="rId10" w:tgtFrame="_blank" w:history="1">
        <w:r w:rsidRPr="005318CE">
          <w:rPr>
            <w:rFonts w:ascii="Arial" w:eastAsia="Times New Roman" w:hAnsi="Arial" w:cs="Arial"/>
            <w:color w:val="FC6B01"/>
            <w:kern w:val="0"/>
            <w:u w:val="single"/>
            <w:lang w:eastAsia="es-UY"/>
            <w14:ligatures w14:val="none"/>
          </w:rPr>
          <w:t>reducción de la edad de responsabilidad penal</w:t>
        </w:r>
      </w:hyperlink>
      <w:r w:rsidRPr="005318CE">
        <w:rPr>
          <w:rFonts w:ascii="Arial" w:eastAsia="Times New Roman" w:hAnsi="Arial" w:cs="Arial"/>
          <w:color w:val="666666"/>
          <w:kern w:val="0"/>
          <w:lang w:eastAsia="es-UY"/>
          <w14:ligatures w14:val="none"/>
        </w:rPr>
        <w:t> es un tema recurrente en el debate público brasileño desde hace décadas, especialmente en épocas de mayor percepción de inseguridad y amplia cobertura mediática de </w:t>
      </w:r>
      <w:r w:rsidRPr="005318CE">
        <w:rPr>
          <w:rFonts w:ascii="Arial" w:eastAsia="Times New Roman" w:hAnsi="Arial" w:cs="Arial"/>
          <w:b/>
          <w:bCs/>
          <w:color w:val="666666"/>
          <w:kern w:val="0"/>
          <w:lang w:eastAsia="es-UY"/>
          <w14:ligatures w14:val="none"/>
        </w:rPr>
        <w:t>delitos violentos</w:t>
      </w:r>
      <w:r w:rsidRPr="005318CE">
        <w:rPr>
          <w:rFonts w:ascii="Arial" w:eastAsia="Times New Roman" w:hAnsi="Arial" w:cs="Arial"/>
          <w:color w:val="666666"/>
          <w:kern w:val="0"/>
          <w:lang w:eastAsia="es-UY"/>
          <w14:ligatures w14:val="none"/>
        </w:rPr>
        <w:t> protagonizados por adolescentes.</w:t>
      </w:r>
    </w:p>
    <w:p w14:paraId="15C1FEDC"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675FBE4A"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Además, una parte importante de la población considera que el sistema actual de rendición de cuentas para adolescentes es insuficiente para abordar ciertos delitos graves. Esta percepción genera presión política sobre los parlamentarios, quienes frecuentemente presentan o apoyan propuestas para endurecer la legislación penal.</w:t>
      </w:r>
    </w:p>
    <w:p w14:paraId="3360ACE6"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5F14094D"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También es necesario considerar que </w:t>
      </w:r>
      <w:hyperlink r:id="rId11" w:tgtFrame="_blank" w:history="1">
        <w:r w:rsidRPr="005318CE">
          <w:rPr>
            <w:rFonts w:ascii="Arial" w:eastAsia="Times New Roman" w:hAnsi="Arial" w:cs="Arial"/>
            <w:color w:val="FC6B01"/>
            <w:kern w:val="0"/>
            <w:u w:val="single"/>
            <w:lang w:eastAsia="es-UY"/>
            <w14:ligatures w14:val="none"/>
          </w:rPr>
          <w:t>la seguridad pública</w:t>
        </w:r>
      </w:hyperlink>
      <w:r w:rsidRPr="005318CE">
        <w:rPr>
          <w:rFonts w:ascii="Arial" w:eastAsia="Times New Roman" w:hAnsi="Arial" w:cs="Arial"/>
          <w:color w:val="666666"/>
          <w:kern w:val="0"/>
          <w:lang w:eastAsia="es-UY"/>
          <w14:ligatures w14:val="none"/>
        </w:rPr>
        <w:t> sigue siendo uno de los principales desafíos que enfrenta el </w:t>
      </w:r>
      <w:r w:rsidRPr="005318CE">
        <w:rPr>
          <w:rFonts w:ascii="Arial" w:eastAsia="Times New Roman" w:hAnsi="Arial" w:cs="Arial"/>
          <w:b/>
          <w:bCs/>
          <w:color w:val="666666"/>
          <w:kern w:val="0"/>
          <w:lang w:eastAsia="es-UY"/>
          <w14:ligatures w14:val="none"/>
        </w:rPr>
        <w:t>Estado brasileño</w:t>
      </w:r>
      <w:r w:rsidRPr="005318CE">
        <w:rPr>
          <w:rFonts w:ascii="Arial" w:eastAsia="Times New Roman" w:hAnsi="Arial" w:cs="Arial"/>
          <w:color w:val="666666"/>
          <w:kern w:val="0"/>
          <w:lang w:eastAsia="es-UY"/>
          <w14:ligatures w14:val="none"/>
        </w:rPr>
        <w:t> . A pesar de las diversas reformas legislativas, las inversiones en seguridad pública y los cambios institucionales implementados en las últimas décadas, la población aún vive con altos </w:t>
      </w:r>
      <w:hyperlink r:id="rId12" w:tgtFrame="_blank" w:history="1">
        <w:r w:rsidRPr="005318CE">
          <w:rPr>
            <w:rFonts w:ascii="Arial" w:eastAsia="Times New Roman" w:hAnsi="Arial" w:cs="Arial"/>
            <w:color w:val="FC6B01"/>
            <w:kern w:val="0"/>
            <w:u w:val="single"/>
            <w:lang w:eastAsia="es-UY"/>
            <w14:ligatures w14:val="none"/>
          </w:rPr>
          <w:t>índices de criminalidad</w:t>
        </w:r>
      </w:hyperlink>
      <w:r w:rsidRPr="005318CE">
        <w:rPr>
          <w:rFonts w:ascii="Arial" w:eastAsia="Times New Roman" w:hAnsi="Arial" w:cs="Arial"/>
          <w:color w:val="666666"/>
          <w:kern w:val="0"/>
          <w:lang w:eastAsia="es-UY"/>
          <w14:ligatures w14:val="none"/>
        </w:rPr>
        <w:t> en muchas regiones del país. Este escenario produce una sensación de insatisfacción y cansancio social, lo que lleva a parte de la sociedad a apoyar medidas que transmiten la idea de mayor rigor en la respuesta del Estado ante el delito. En este contexto, propuestas como la reducción de la edad de responsabilidad penal tienden a ganar apoyo político, independientemente de los desacuerdos existentes sobre su capacidad efectiva para </w:t>
      </w:r>
      <w:r w:rsidRPr="005318CE">
        <w:rPr>
          <w:rFonts w:ascii="Arial" w:eastAsia="Times New Roman" w:hAnsi="Arial" w:cs="Arial"/>
          <w:b/>
          <w:bCs/>
          <w:color w:val="666666"/>
          <w:kern w:val="0"/>
          <w:lang w:eastAsia="es-UY"/>
          <w14:ligatures w14:val="none"/>
        </w:rPr>
        <w:t>reducir la delincuencia</w:t>
      </w:r>
      <w:r w:rsidRPr="005318CE">
        <w:rPr>
          <w:rFonts w:ascii="Arial" w:eastAsia="Times New Roman" w:hAnsi="Arial" w:cs="Arial"/>
          <w:color w:val="666666"/>
          <w:kern w:val="0"/>
          <w:lang w:eastAsia="es-UY"/>
          <w14:ligatures w14:val="none"/>
        </w:rPr>
        <w:t> .</w:t>
      </w:r>
    </w:p>
    <w:p w14:paraId="07A0769F"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1EB5C8CF"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Desde el punto de vista legislativo, es importante destacar que la Comisión de Constitución, Justicia y Ciudadanía </w:t>
      </w:r>
      <w:r w:rsidRPr="005318CE">
        <w:rPr>
          <w:rFonts w:ascii="Arial" w:eastAsia="Times New Roman" w:hAnsi="Arial" w:cs="Arial"/>
          <w:b/>
          <w:bCs/>
          <w:color w:val="666666"/>
          <w:kern w:val="0"/>
          <w:lang w:eastAsia="es-UY"/>
          <w14:ligatures w14:val="none"/>
        </w:rPr>
        <w:t>(CCJ</w:t>
      </w:r>
      <w:r w:rsidRPr="005318CE">
        <w:rPr>
          <w:rFonts w:ascii="Arial" w:eastAsia="Times New Roman" w:hAnsi="Arial" w:cs="Arial"/>
          <w:color w:val="666666"/>
          <w:kern w:val="0"/>
          <w:lang w:eastAsia="es-UY"/>
          <w14:ligatures w14:val="none"/>
        </w:rPr>
        <w:t xml:space="preserve"> ) no analiza los méritos de la propuesta, es decir, si la reducción de la edad de responsabilidad penal es conveniente o efectiva para disminuir la delincuencia. La función de la comisión </w:t>
      </w:r>
      <w:r w:rsidRPr="005318CE">
        <w:rPr>
          <w:rFonts w:ascii="Arial" w:eastAsia="Times New Roman" w:hAnsi="Arial" w:cs="Arial"/>
          <w:color w:val="666666"/>
          <w:kern w:val="0"/>
          <w:lang w:eastAsia="es-UY"/>
          <w14:ligatures w14:val="none"/>
        </w:rPr>
        <w:lastRenderedPageBreak/>
        <w:t>es principalmente examinar la admisibilidad constitucional de la </w:t>
      </w:r>
      <w:r w:rsidRPr="005318CE">
        <w:rPr>
          <w:rFonts w:ascii="Arial" w:eastAsia="Times New Roman" w:hAnsi="Arial" w:cs="Arial"/>
          <w:b/>
          <w:bCs/>
          <w:color w:val="666666"/>
          <w:kern w:val="0"/>
          <w:lang w:eastAsia="es-UY"/>
          <w14:ligatures w14:val="none"/>
        </w:rPr>
        <w:t>Propuesta de Enmienda a la Constitución</w:t>
      </w:r>
      <w:r w:rsidRPr="005318CE">
        <w:rPr>
          <w:rFonts w:ascii="Arial" w:eastAsia="Times New Roman" w:hAnsi="Arial" w:cs="Arial"/>
          <w:color w:val="666666"/>
          <w:kern w:val="0"/>
          <w:lang w:eastAsia="es-UY"/>
          <w14:ligatures w14:val="none"/>
        </w:rPr>
        <w:t> ( </w:t>
      </w:r>
      <w:r w:rsidRPr="005318CE">
        <w:rPr>
          <w:rFonts w:ascii="Arial" w:eastAsia="Times New Roman" w:hAnsi="Arial" w:cs="Arial"/>
          <w:b/>
          <w:bCs/>
          <w:color w:val="666666"/>
          <w:kern w:val="0"/>
          <w:lang w:eastAsia="es-UY"/>
          <w14:ligatures w14:val="none"/>
        </w:rPr>
        <w:t>PEC</w:t>
      </w:r>
      <w:r w:rsidRPr="005318CE">
        <w:rPr>
          <w:rFonts w:ascii="Arial" w:eastAsia="Times New Roman" w:hAnsi="Arial" w:cs="Arial"/>
          <w:color w:val="666666"/>
          <w:kern w:val="0"/>
          <w:lang w:eastAsia="es-UY"/>
          <w14:ligatures w14:val="none"/>
        </w:rPr>
        <w:t> ). Por lo tanto, la aprobación de la propuesta indica que la mayoría de los parlamentarios de la comisión entendieron que el debate puede avanzar a las siguientes etapas del proceso legislativo. Sin embargo, la aprobación de la </w:t>
      </w:r>
      <w:r w:rsidRPr="005318CE">
        <w:rPr>
          <w:rFonts w:ascii="Arial" w:eastAsia="Times New Roman" w:hAnsi="Arial" w:cs="Arial"/>
          <w:b/>
          <w:bCs/>
          <w:color w:val="666666"/>
          <w:kern w:val="0"/>
          <w:lang w:eastAsia="es-UY"/>
          <w14:ligatures w14:val="none"/>
        </w:rPr>
        <w:t>CCJ</w:t>
      </w:r>
      <w:r w:rsidRPr="005318CE">
        <w:rPr>
          <w:rFonts w:ascii="Arial" w:eastAsia="Times New Roman" w:hAnsi="Arial" w:cs="Arial"/>
          <w:color w:val="666666"/>
          <w:kern w:val="0"/>
          <w:lang w:eastAsia="es-UY"/>
          <w14:ligatures w14:val="none"/>
        </w:rPr>
        <w:t> sobre un tema tan controvertido ya indica probabilidades razonables de aprobación por parte del poder legislativo.</w:t>
      </w:r>
    </w:p>
    <w:p w14:paraId="62F835E3"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3EE56E03"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Por lo tanto, la decisión del </w:t>
      </w:r>
      <w:r w:rsidRPr="005318CE">
        <w:rPr>
          <w:rFonts w:ascii="Arial" w:eastAsia="Times New Roman" w:hAnsi="Arial" w:cs="Arial"/>
          <w:b/>
          <w:bCs/>
          <w:color w:val="666666"/>
          <w:kern w:val="0"/>
          <w:lang w:eastAsia="es-UY"/>
          <w14:ligatures w14:val="none"/>
        </w:rPr>
        <w:t>CCJ</w:t>
      </w:r>
      <w:r w:rsidRPr="005318CE">
        <w:rPr>
          <w:rFonts w:ascii="Arial" w:eastAsia="Times New Roman" w:hAnsi="Arial" w:cs="Arial"/>
          <w:color w:val="666666"/>
          <w:kern w:val="0"/>
          <w:lang w:eastAsia="es-UY"/>
          <w14:ligatures w14:val="none"/>
        </w:rPr>
        <w:t> no representa una definición definitiva sobre </w:t>
      </w:r>
      <w:hyperlink r:id="rId13" w:tgtFrame="_blank" w:history="1">
        <w:r w:rsidRPr="005318CE">
          <w:rPr>
            <w:rFonts w:ascii="Arial" w:eastAsia="Times New Roman" w:hAnsi="Arial" w:cs="Arial"/>
            <w:color w:val="FC6B01"/>
            <w:kern w:val="0"/>
            <w:u w:val="single"/>
            <w:lang w:eastAsia="es-UY"/>
            <w14:ligatures w14:val="none"/>
          </w:rPr>
          <w:t>la reducción de la edad de responsabilidad penal</w:t>
        </w:r>
      </w:hyperlink>
      <w:r w:rsidRPr="005318CE">
        <w:rPr>
          <w:rFonts w:ascii="Arial" w:eastAsia="Times New Roman" w:hAnsi="Arial" w:cs="Arial"/>
          <w:color w:val="666666"/>
          <w:kern w:val="0"/>
          <w:lang w:eastAsia="es-UY"/>
          <w14:ligatures w14:val="none"/>
        </w:rPr>
        <w:t> , pero demuestra que el tema sigue encontrando un apoyo político relevante en el </w:t>
      </w:r>
      <w:r w:rsidRPr="005318CE">
        <w:rPr>
          <w:rFonts w:ascii="Arial" w:eastAsia="Times New Roman" w:hAnsi="Arial" w:cs="Arial"/>
          <w:b/>
          <w:bCs/>
          <w:color w:val="666666"/>
          <w:kern w:val="0"/>
          <w:lang w:eastAsia="es-UY"/>
          <w14:ligatures w14:val="none"/>
        </w:rPr>
        <w:t>Congreso Nacional</w:t>
      </w:r>
      <w:r w:rsidRPr="005318CE">
        <w:rPr>
          <w:rFonts w:ascii="Arial" w:eastAsia="Times New Roman" w:hAnsi="Arial" w:cs="Arial"/>
          <w:color w:val="666666"/>
          <w:kern w:val="0"/>
          <w:lang w:eastAsia="es-UY"/>
          <w14:ligatures w14:val="none"/>
        </w:rPr>
        <w:t> , especialmente en un contexto donde la seguridad pública sigue siendo una de las mayores preocupaciones de la población.</w:t>
      </w:r>
    </w:p>
    <w:p w14:paraId="3EC597EB" w14:textId="77777777" w:rsidR="005318CE" w:rsidRPr="005318CE" w:rsidRDefault="005318CE" w:rsidP="005318CE">
      <w:pPr>
        <w:spacing w:after="0" w:line="240" w:lineRule="auto"/>
        <w:rPr>
          <w:rFonts w:ascii="Arial" w:eastAsia="Times New Roman" w:hAnsi="Arial" w:cs="Arial"/>
          <w:color w:val="666666"/>
          <w:kern w:val="0"/>
          <w:sz w:val="27"/>
          <w:szCs w:val="27"/>
          <w:lang w:eastAsia="es-UY"/>
          <w14:ligatures w14:val="none"/>
        </w:rPr>
      </w:pPr>
    </w:p>
    <w:p w14:paraId="02BA4781"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5318CE">
        <w:rPr>
          <w:rFonts w:ascii="Arial" w:eastAsia="Times New Roman" w:hAnsi="Arial" w:cs="Arial"/>
          <w:b/>
          <w:bCs/>
          <w:i/>
          <w:iCs/>
          <w:color w:val="BF4E14" w:themeColor="accent2" w:themeShade="BF"/>
          <w:kern w:val="0"/>
          <w:sz w:val="27"/>
          <w:szCs w:val="27"/>
          <w:lang w:eastAsia="es-UY"/>
          <w14:ligatures w14:val="none"/>
        </w:rPr>
        <w:t xml:space="preserve">La decisión de la CCJ demuestra que el tema sigue contando con un importante respaldo político en el Congreso Nacional, especialmente en un contexto donde la seguridad pública sigue siendo una de las mayores preocupaciones de la población brasileña – Alexander </w:t>
      </w:r>
      <w:proofErr w:type="spellStart"/>
      <w:r w:rsidRPr="005318CE">
        <w:rPr>
          <w:rFonts w:ascii="Arial" w:eastAsia="Times New Roman" w:hAnsi="Arial" w:cs="Arial"/>
          <w:b/>
          <w:bCs/>
          <w:i/>
          <w:iCs/>
          <w:color w:val="BF4E14" w:themeColor="accent2" w:themeShade="BF"/>
          <w:kern w:val="0"/>
          <w:sz w:val="27"/>
          <w:szCs w:val="27"/>
          <w:lang w:eastAsia="es-UY"/>
          <w14:ligatures w14:val="none"/>
        </w:rPr>
        <w:t>Rodrigues</w:t>
      </w:r>
      <w:proofErr w:type="spellEnd"/>
      <w:r w:rsidRPr="005318CE">
        <w:rPr>
          <w:rFonts w:ascii="Arial" w:eastAsia="Times New Roman" w:hAnsi="Arial" w:cs="Arial"/>
          <w:b/>
          <w:bCs/>
          <w:i/>
          <w:iCs/>
          <w:color w:val="BF4E14" w:themeColor="accent2" w:themeShade="BF"/>
          <w:kern w:val="0"/>
          <w:sz w:val="27"/>
          <w:szCs w:val="27"/>
          <w:lang w:eastAsia="es-UY"/>
          <w14:ligatures w14:val="none"/>
        </w:rPr>
        <w:t xml:space="preserve"> de Castro</w:t>
      </w:r>
    </w:p>
    <w:p w14:paraId="3F55CE3F" w14:textId="3848EB02" w:rsidR="005318CE" w:rsidRPr="005318CE" w:rsidRDefault="005318CE" w:rsidP="005318CE">
      <w:pPr>
        <w:spacing w:after="0" w:line="240" w:lineRule="auto"/>
        <w:jc w:val="both"/>
        <w:rPr>
          <w:rFonts w:ascii="Times New Roman" w:eastAsia="Times New Roman" w:hAnsi="Times New Roman" w:cs="Times New Roman"/>
          <w:b/>
          <w:bCs/>
          <w:i/>
          <w:iCs/>
          <w:color w:val="FC6B01"/>
          <w:kern w:val="0"/>
          <w:lang w:eastAsia="es-UY"/>
          <w14:ligatures w14:val="none"/>
        </w:rPr>
      </w:pPr>
    </w:p>
    <w:p w14:paraId="59D60B13" w14:textId="77777777" w:rsid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¿Por qué existe una presión tan persistente para reducir la edad de responsabilidad penal desde que se promulgó la Constitución?</w:t>
      </w:r>
    </w:p>
    <w:p w14:paraId="7459E85A"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0373ADA0"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La recurrencia de este debate desde la promulgación de la </w:t>
      </w:r>
      <w:hyperlink r:id="rId14" w:tgtFrame="_blank" w:history="1">
        <w:r w:rsidRPr="005318CE">
          <w:rPr>
            <w:rFonts w:ascii="Arial" w:eastAsia="Times New Roman" w:hAnsi="Arial" w:cs="Arial"/>
            <w:color w:val="FC6B01"/>
            <w:kern w:val="0"/>
            <w:u w:val="single"/>
            <w:lang w:eastAsia="es-UY"/>
            <w14:ligatures w14:val="none"/>
          </w:rPr>
          <w:t>Constitución de 1988</w:t>
        </w:r>
      </w:hyperlink>
      <w:r w:rsidRPr="005318CE">
        <w:rPr>
          <w:rFonts w:ascii="Arial" w:eastAsia="Times New Roman" w:hAnsi="Arial" w:cs="Arial"/>
          <w:color w:val="666666"/>
          <w:kern w:val="0"/>
          <w:lang w:eastAsia="es-UY"/>
          <w14:ligatures w14:val="none"/>
        </w:rPr>
        <w:t> se debe, en gran medida, a la tensión permanente entre dos valores igualmente relevantes para la sociedad. Por un lado, la </w:t>
      </w:r>
      <w:r w:rsidRPr="005318CE">
        <w:rPr>
          <w:rFonts w:ascii="Arial" w:eastAsia="Times New Roman" w:hAnsi="Arial" w:cs="Arial"/>
          <w:b/>
          <w:bCs/>
          <w:color w:val="666666"/>
          <w:kern w:val="0"/>
          <w:lang w:eastAsia="es-UY"/>
          <w14:ligatures w14:val="none"/>
        </w:rPr>
        <w:t>Constitución</w:t>
      </w:r>
      <w:r w:rsidRPr="005318CE">
        <w:rPr>
          <w:rFonts w:ascii="Arial" w:eastAsia="Times New Roman" w:hAnsi="Arial" w:cs="Arial"/>
          <w:color w:val="666666"/>
          <w:kern w:val="0"/>
          <w:lang w:eastAsia="es-UY"/>
          <w14:ligatures w14:val="none"/>
        </w:rPr>
        <w:t> adoptó la doctrina de la protección integral, reconociendo a los niños y adolescentes como sujetos de derechos y estableciendo un sistema específico de </w:t>
      </w:r>
      <w:hyperlink r:id="rId15" w:tgtFrame="_blank" w:history="1">
        <w:r w:rsidRPr="005318CE">
          <w:rPr>
            <w:rFonts w:ascii="Arial" w:eastAsia="Times New Roman" w:hAnsi="Arial" w:cs="Arial"/>
            <w:color w:val="FC6B01"/>
            <w:kern w:val="0"/>
            <w:u w:val="single"/>
            <w:lang w:eastAsia="es-UY"/>
            <w14:ligatures w14:val="none"/>
          </w:rPr>
          <w:t>responsabilidad para los menores de 18 años</w:t>
        </w:r>
      </w:hyperlink>
      <w:r w:rsidRPr="005318CE">
        <w:rPr>
          <w:rFonts w:ascii="Arial" w:eastAsia="Times New Roman" w:hAnsi="Arial" w:cs="Arial"/>
          <w:color w:val="666666"/>
          <w:kern w:val="0"/>
          <w:lang w:eastAsia="es-UY"/>
          <w14:ligatures w14:val="none"/>
        </w:rPr>
        <w:t> . Por otro lado, persiste la preocupación social respecto a la seguridad pública y la respuesta del Estado ante los delitos graves cometidos por adolescentes.</w:t>
      </w:r>
    </w:p>
    <w:p w14:paraId="32D3B75F"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07D87ED0"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Cada vez que se produce un delito de gran repercusión mediática en el que participan </w:t>
      </w:r>
      <w:r w:rsidRPr="005318CE">
        <w:rPr>
          <w:rFonts w:ascii="Arial" w:eastAsia="Times New Roman" w:hAnsi="Arial" w:cs="Arial"/>
          <w:b/>
          <w:bCs/>
          <w:color w:val="666666"/>
          <w:kern w:val="0"/>
          <w:lang w:eastAsia="es-UY"/>
          <w14:ligatures w14:val="none"/>
        </w:rPr>
        <w:t>menores</w:t>
      </w:r>
      <w:r w:rsidRPr="005318CE">
        <w:rPr>
          <w:rFonts w:ascii="Arial" w:eastAsia="Times New Roman" w:hAnsi="Arial" w:cs="Arial"/>
          <w:color w:val="666666"/>
          <w:kern w:val="0"/>
          <w:lang w:eastAsia="es-UY"/>
          <w14:ligatures w14:val="none"/>
        </w:rPr>
        <w:t> , el tema vuelve a ocupar un lugar central en la agenda pública. Esto se debe a que parte de la población cree que los adolescentes de entre 16 y 18 años ya tienen la capacidad suficiente para comprender la naturaleza ilícita de sus actos y, por lo tanto, deberían recibir un trato similar al de los adultos en determinadas situaciones.</w:t>
      </w:r>
    </w:p>
    <w:p w14:paraId="38379F1E"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1785A112"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Además, la persistencia de </w:t>
      </w:r>
      <w:hyperlink r:id="rId16" w:tgtFrame="_blank" w:history="1">
        <w:r w:rsidRPr="005318CE">
          <w:rPr>
            <w:rFonts w:ascii="Arial" w:eastAsia="Times New Roman" w:hAnsi="Arial" w:cs="Arial"/>
            <w:color w:val="FC6B01"/>
            <w:kern w:val="0"/>
            <w:u w:val="single"/>
            <w:lang w:eastAsia="es-UY"/>
            <w14:ligatures w14:val="none"/>
          </w:rPr>
          <w:t>problemas relacionados con la violencia y la delincuencia</w:t>
        </w:r>
      </w:hyperlink>
      <w:r w:rsidRPr="005318CE">
        <w:rPr>
          <w:rFonts w:ascii="Arial" w:eastAsia="Times New Roman" w:hAnsi="Arial" w:cs="Arial"/>
          <w:color w:val="666666"/>
          <w:kern w:val="0"/>
          <w:lang w:eastAsia="es-UY"/>
          <w14:ligatures w14:val="none"/>
        </w:rPr>
        <w:t> contribuye a mantener vivo este debate. La sensación de que el Estado aún no ha podido ofrecer respuestas satisfactorias a la seguridad pública provoca que las propuestas de penas más severas reaparezcan cíclicamente en el </w:t>
      </w:r>
      <w:r w:rsidRPr="005318CE">
        <w:rPr>
          <w:rFonts w:ascii="Arial" w:eastAsia="Times New Roman" w:hAnsi="Arial" w:cs="Arial"/>
          <w:b/>
          <w:bCs/>
          <w:color w:val="666666"/>
          <w:kern w:val="0"/>
          <w:lang w:eastAsia="es-UY"/>
          <w14:ligatures w14:val="none"/>
        </w:rPr>
        <w:t>Congreso Nacional</w:t>
      </w:r>
      <w:r w:rsidRPr="005318CE">
        <w:rPr>
          <w:rFonts w:ascii="Arial" w:eastAsia="Times New Roman" w:hAnsi="Arial" w:cs="Arial"/>
          <w:color w:val="666666"/>
          <w:kern w:val="0"/>
          <w:lang w:eastAsia="es-UY"/>
          <w14:ligatures w14:val="none"/>
        </w:rPr>
        <w:t> . En momentos de mayor preocupación social por la violencia, medidas como la reducción de la edad de responsabilidad penal tienden a ganar apoyo político y popular, incluso cuando existen discrepancias entre los expertos sobre su eficacia práctica.</w:t>
      </w:r>
    </w:p>
    <w:p w14:paraId="59302C59"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7C80E928"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También es importante reconocer que la población suele entender </w:t>
      </w:r>
      <w:r w:rsidRPr="005318CE">
        <w:rPr>
          <w:rFonts w:ascii="Arial" w:eastAsia="Times New Roman" w:hAnsi="Arial" w:cs="Arial"/>
          <w:b/>
          <w:bCs/>
          <w:color w:val="666666"/>
          <w:kern w:val="0"/>
          <w:lang w:eastAsia="es-UY"/>
          <w14:ligatures w14:val="none"/>
        </w:rPr>
        <w:t xml:space="preserve">el delito desde una perspectiva puramente moralista: lo percibe únicamente como </w:t>
      </w:r>
      <w:r w:rsidRPr="005318CE">
        <w:rPr>
          <w:rFonts w:ascii="Arial" w:eastAsia="Times New Roman" w:hAnsi="Arial" w:cs="Arial"/>
          <w:b/>
          <w:bCs/>
          <w:color w:val="666666"/>
          <w:kern w:val="0"/>
          <w:lang w:eastAsia="es-UY"/>
          <w14:ligatures w14:val="none"/>
        </w:rPr>
        <w:lastRenderedPageBreak/>
        <w:t>consecuencia de la maldad del perpetrador. Esta es una reacción natural: ante la violencia, la gente tiende a identificar a los responsables del daño y a abogar por respuestas más severas para restablecer la justicia</w:t>
      </w:r>
      <w:r w:rsidRPr="005318CE">
        <w:rPr>
          <w:rFonts w:ascii="Arial" w:eastAsia="Times New Roman" w:hAnsi="Arial" w:cs="Arial"/>
          <w:color w:val="666666"/>
          <w:kern w:val="0"/>
          <w:lang w:eastAsia="es-UY"/>
          <w14:ligatures w14:val="none"/>
        </w:rPr>
        <w:t> y </w:t>
      </w:r>
      <w:r w:rsidRPr="005318CE">
        <w:rPr>
          <w:rFonts w:ascii="Arial" w:eastAsia="Times New Roman" w:hAnsi="Arial" w:cs="Arial"/>
          <w:b/>
          <w:bCs/>
          <w:color w:val="666666"/>
          <w:kern w:val="0"/>
          <w:lang w:eastAsia="es-UY"/>
          <w14:ligatures w14:val="none"/>
        </w:rPr>
        <w:t>la seguridad</w:t>
      </w:r>
      <w:r w:rsidRPr="005318CE">
        <w:rPr>
          <w:rFonts w:ascii="Arial" w:eastAsia="Times New Roman" w:hAnsi="Arial" w:cs="Arial"/>
          <w:color w:val="666666"/>
          <w:kern w:val="0"/>
          <w:lang w:eastAsia="es-UY"/>
          <w14:ligatures w14:val="none"/>
        </w:rPr>
        <w:t> . El problema radica en que los fenómenos delictivos son mucho más complejos de lo que sugiere esta percepción intuitiva inicial, ya que involucran factores sociales, económicos, institucionales y culturales.</w:t>
      </w:r>
    </w:p>
    <w:p w14:paraId="716B0BA0" w14:textId="77777777" w:rsidR="005318CE" w:rsidRPr="005318CE" w:rsidRDefault="005318CE" w:rsidP="005318CE">
      <w:pPr>
        <w:spacing w:after="0" w:line="240" w:lineRule="auto"/>
        <w:rPr>
          <w:rFonts w:ascii="Arial" w:eastAsia="Times New Roman" w:hAnsi="Arial" w:cs="Arial"/>
          <w:color w:val="666666"/>
          <w:kern w:val="0"/>
          <w:sz w:val="27"/>
          <w:szCs w:val="27"/>
          <w:lang w:eastAsia="es-UY"/>
          <w14:ligatures w14:val="none"/>
        </w:rPr>
      </w:pPr>
    </w:p>
    <w:p w14:paraId="787D9784"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5318CE">
        <w:rPr>
          <w:rFonts w:ascii="Arial" w:eastAsia="Times New Roman" w:hAnsi="Arial" w:cs="Arial"/>
          <w:b/>
          <w:bCs/>
          <w:i/>
          <w:iCs/>
          <w:color w:val="BF4E14" w:themeColor="accent2" w:themeShade="BF"/>
          <w:kern w:val="0"/>
          <w:sz w:val="27"/>
          <w:szCs w:val="27"/>
          <w:lang w:eastAsia="es-UY"/>
          <w14:ligatures w14:val="none"/>
        </w:rPr>
        <w:t xml:space="preserve">La población suele entender el crimen desde una perspectiva puramente moralista: se considera que el crimen es únicamente consecuencia del carácter malvado del perpetrador. – Alexander </w:t>
      </w:r>
      <w:proofErr w:type="spellStart"/>
      <w:r w:rsidRPr="005318CE">
        <w:rPr>
          <w:rFonts w:ascii="Arial" w:eastAsia="Times New Roman" w:hAnsi="Arial" w:cs="Arial"/>
          <w:b/>
          <w:bCs/>
          <w:i/>
          <w:iCs/>
          <w:color w:val="BF4E14" w:themeColor="accent2" w:themeShade="BF"/>
          <w:kern w:val="0"/>
          <w:sz w:val="27"/>
          <w:szCs w:val="27"/>
          <w:lang w:eastAsia="es-UY"/>
          <w14:ligatures w14:val="none"/>
        </w:rPr>
        <w:t>Rodrigues</w:t>
      </w:r>
      <w:proofErr w:type="spellEnd"/>
      <w:r w:rsidRPr="005318CE">
        <w:rPr>
          <w:rFonts w:ascii="Arial" w:eastAsia="Times New Roman" w:hAnsi="Arial" w:cs="Arial"/>
          <w:b/>
          <w:bCs/>
          <w:i/>
          <w:iCs/>
          <w:color w:val="BF4E14" w:themeColor="accent2" w:themeShade="BF"/>
          <w:kern w:val="0"/>
          <w:sz w:val="27"/>
          <w:szCs w:val="27"/>
          <w:lang w:eastAsia="es-UY"/>
          <w14:ligatures w14:val="none"/>
        </w:rPr>
        <w:t xml:space="preserve"> de Castro</w:t>
      </w:r>
    </w:p>
    <w:p w14:paraId="052AAA0E" w14:textId="2687F857" w:rsidR="005318CE" w:rsidRPr="005318CE" w:rsidRDefault="005318CE" w:rsidP="005318C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50CA7B61"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A pesar de ello, los discursos simplistas suelen gozar de gran aceptación pública, sobre todo cuando presentan soluciones aparentemente rápidas a problemas persistentes. En muchos casos, esta </w:t>
      </w:r>
      <w:hyperlink r:id="rId17" w:tgtFrame="_blank" w:history="1">
        <w:r w:rsidRPr="005318CE">
          <w:rPr>
            <w:rFonts w:ascii="Arial" w:eastAsia="Times New Roman" w:hAnsi="Arial" w:cs="Arial"/>
            <w:color w:val="FC6B01"/>
            <w:kern w:val="0"/>
            <w:u w:val="single"/>
            <w:lang w:eastAsia="es-UY"/>
            <w14:ligatures w14:val="none"/>
          </w:rPr>
          <w:t>concepción más moralista del delito</w:t>
        </w:r>
      </w:hyperlink>
      <w:r w:rsidRPr="005318CE">
        <w:rPr>
          <w:rFonts w:ascii="Arial" w:eastAsia="Times New Roman" w:hAnsi="Arial" w:cs="Arial"/>
          <w:color w:val="666666"/>
          <w:kern w:val="0"/>
          <w:lang w:eastAsia="es-UY"/>
          <w14:ligatures w14:val="none"/>
        </w:rPr>
        <w:t> se ve reforzada por ciertos comunicadores sociales, la cobertura mediática y los agentes políticos que encuentran en la seguridad pública una importante fuente de movilización electoral. Esto no significa que las preocupaciones de la población sean ilegítimas, sino que el debate público no siempre refleja la complejidad que implica la formulación de políticas penales eficaces.</w:t>
      </w:r>
    </w:p>
    <w:p w14:paraId="4319593E"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02EC1D19"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Ante esta situación, la reducción de la </w:t>
      </w:r>
      <w:hyperlink r:id="rId18" w:tgtFrame="_blank" w:history="1">
        <w:r w:rsidRPr="005318CE">
          <w:rPr>
            <w:rFonts w:ascii="Arial" w:eastAsia="Times New Roman" w:hAnsi="Arial" w:cs="Arial"/>
            <w:color w:val="FC6B01"/>
            <w:kern w:val="0"/>
            <w:u w:val="single"/>
            <w:lang w:eastAsia="es-UY"/>
            <w14:ligatures w14:val="none"/>
          </w:rPr>
          <w:t>edad de responsabilidad penal</w:t>
        </w:r>
      </w:hyperlink>
      <w:r w:rsidRPr="005318CE">
        <w:rPr>
          <w:rFonts w:ascii="Arial" w:eastAsia="Times New Roman" w:hAnsi="Arial" w:cs="Arial"/>
          <w:color w:val="666666"/>
          <w:kern w:val="0"/>
          <w:lang w:eastAsia="es-UY"/>
          <w14:ligatures w14:val="none"/>
        </w:rPr>
        <w:t> se convierte en un tema recurrente, ya que parte del razonamiento de que si los menores de 18 años cometen delitos, esto es simplemente consecuencia de una supuesta </w:t>
      </w:r>
      <w:r w:rsidRPr="005318CE">
        <w:rPr>
          <w:rFonts w:ascii="Arial" w:eastAsia="Times New Roman" w:hAnsi="Arial" w:cs="Arial"/>
          <w:b/>
          <w:bCs/>
          <w:color w:val="666666"/>
          <w:kern w:val="0"/>
          <w:lang w:eastAsia="es-UY"/>
          <w14:ligatures w14:val="none"/>
        </w:rPr>
        <w:t>permisividad en la legislación</w:t>
      </w:r>
      <w:r w:rsidRPr="005318CE">
        <w:rPr>
          <w:rFonts w:ascii="Arial" w:eastAsia="Times New Roman" w:hAnsi="Arial" w:cs="Arial"/>
          <w:color w:val="666666"/>
          <w:kern w:val="0"/>
          <w:lang w:eastAsia="es-UY"/>
          <w14:ligatures w14:val="none"/>
        </w:rPr>
        <w:t> .</w:t>
      </w:r>
    </w:p>
    <w:p w14:paraId="063C8BEE"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3724E7ED" w14:textId="77777777" w:rsidR="005318CE" w:rsidRP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Según el artículo 228 de la Constitución Federal Brasileña, “los menores de dieciocho años son penalmente irresponsables y están sujetos a las normas de legislación especial”. ¿Es esta una cláusula inamovible? ¿Cuál es el debate jurídico actual en torno a este tema?</w:t>
      </w:r>
    </w:p>
    <w:p w14:paraId="75B040C1"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1DE25082"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Esta es precisamente una de las principales controversias jurídicas en torno a la </w:t>
      </w:r>
      <w:hyperlink r:id="rId19" w:tgtFrame="_blank" w:history="1">
        <w:r w:rsidRPr="005318CE">
          <w:rPr>
            <w:rFonts w:ascii="Arial" w:eastAsia="Times New Roman" w:hAnsi="Arial" w:cs="Arial"/>
            <w:color w:val="FC6B01"/>
            <w:kern w:val="0"/>
            <w:u w:val="single"/>
            <w:lang w:eastAsia="es-UY"/>
            <w14:ligatures w14:val="none"/>
          </w:rPr>
          <w:t>reducción de la edad de responsabilidad penal</w:t>
        </w:r>
      </w:hyperlink>
      <w:r w:rsidRPr="005318CE">
        <w:rPr>
          <w:rFonts w:ascii="Arial" w:eastAsia="Times New Roman" w:hAnsi="Arial" w:cs="Arial"/>
          <w:color w:val="666666"/>
          <w:kern w:val="0"/>
          <w:lang w:eastAsia="es-UY"/>
          <w14:ligatures w14:val="none"/>
        </w:rPr>
        <w:t> . No existe consenso en la doctrina constitucional sobre el tema. Una parte significativa de juristas sostiene que el artículo 228 de la </w:t>
      </w:r>
      <w:r w:rsidRPr="005318CE">
        <w:rPr>
          <w:rFonts w:ascii="Arial" w:eastAsia="Times New Roman" w:hAnsi="Arial" w:cs="Arial"/>
          <w:b/>
          <w:bCs/>
          <w:color w:val="666666"/>
          <w:kern w:val="0"/>
          <w:lang w:eastAsia="es-UY"/>
          <w14:ligatures w14:val="none"/>
        </w:rPr>
        <w:t>Constitución</w:t>
      </w:r>
      <w:r w:rsidRPr="005318CE">
        <w:rPr>
          <w:rFonts w:ascii="Arial" w:eastAsia="Times New Roman" w:hAnsi="Arial" w:cs="Arial"/>
          <w:color w:val="666666"/>
          <w:kern w:val="0"/>
          <w:lang w:eastAsia="es-UY"/>
          <w14:ligatures w14:val="none"/>
        </w:rPr>
        <w:t> constituye una garantía fundamental para los menores y, por ello, estaría amparado por la cláusula imperativa prevista en el artículo 60, § 4, inciso IV, que impide la aprobación de enmiendas que tiendan a suprimir derechos y garantías individuales. Según esta interpretación, la </w:t>
      </w:r>
      <w:r w:rsidRPr="005318CE">
        <w:rPr>
          <w:rFonts w:ascii="Arial" w:eastAsia="Times New Roman" w:hAnsi="Arial" w:cs="Arial"/>
          <w:b/>
          <w:bCs/>
          <w:color w:val="666666"/>
          <w:kern w:val="0"/>
          <w:lang w:eastAsia="es-UY"/>
          <w14:ligatures w14:val="none"/>
        </w:rPr>
        <w:t>inimputabilidad penal</w:t>
      </w:r>
      <w:r w:rsidRPr="005318CE">
        <w:rPr>
          <w:rFonts w:ascii="Arial" w:eastAsia="Times New Roman" w:hAnsi="Arial" w:cs="Arial"/>
          <w:color w:val="666666"/>
          <w:kern w:val="0"/>
          <w:lang w:eastAsia="es-UY"/>
          <w14:ligatures w14:val="none"/>
        </w:rPr>
        <w:t> de los menores de 18 años no podría reducirse ni siquiera mediante una enmienda constitucional.</w:t>
      </w:r>
    </w:p>
    <w:p w14:paraId="784039B4"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0E375ACE"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Por otro lado, hay autores que defienden la posibilidad legal de la enmienda. Según esta postura, el artículo 228 no constituye una cláusula inamovible en sí misma, sino más bien una opción de política constitucional adoptada por la Asamblea Constituyente de 1988, sujeta a revisión mediante el procedimiento ordinario de reforma </w:t>
      </w:r>
      <w:r w:rsidRPr="005318CE">
        <w:rPr>
          <w:rFonts w:ascii="Arial" w:eastAsia="Times New Roman" w:hAnsi="Arial" w:cs="Arial"/>
          <w:b/>
          <w:bCs/>
          <w:color w:val="666666"/>
          <w:kern w:val="0"/>
          <w:lang w:eastAsia="es-UY"/>
          <w14:ligatures w14:val="none"/>
        </w:rPr>
        <w:t>constitucional</w:t>
      </w:r>
      <w:r w:rsidRPr="005318CE">
        <w:rPr>
          <w:rFonts w:ascii="Arial" w:eastAsia="Times New Roman" w:hAnsi="Arial" w:cs="Arial"/>
          <w:color w:val="666666"/>
          <w:kern w:val="0"/>
          <w:lang w:eastAsia="es-UY"/>
          <w14:ligatures w14:val="none"/>
        </w:rPr>
        <w:t> . De acuerdo con esta interpretación, el tema puede someterse al debate democrático y al proceso legislativo de reforma constitucional.</w:t>
      </w:r>
    </w:p>
    <w:p w14:paraId="449F1DB1"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7CA34090" w14:textId="77777777" w:rsidR="005318CE" w:rsidRDefault="005318CE" w:rsidP="005318CE">
      <w:pPr>
        <w:spacing w:after="0" w:line="240" w:lineRule="auto"/>
        <w:jc w:val="both"/>
        <w:outlineLvl w:val="1"/>
        <w:rPr>
          <w:rFonts w:ascii="Arial" w:eastAsia="Times New Roman" w:hAnsi="Arial" w:cs="Arial"/>
          <w:b/>
          <w:bCs/>
          <w:color w:val="000000"/>
          <w:kern w:val="0"/>
          <w:sz w:val="36"/>
          <w:szCs w:val="36"/>
          <w:lang w:eastAsia="es-UY"/>
          <w14:ligatures w14:val="none"/>
        </w:rPr>
      </w:pPr>
      <w:r w:rsidRPr="005318CE">
        <w:rPr>
          <w:rFonts w:ascii="Arial" w:eastAsia="Times New Roman" w:hAnsi="Arial" w:cs="Arial"/>
          <w:b/>
          <w:bCs/>
          <w:color w:val="000000"/>
          <w:kern w:val="0"/>
          <w:sz w:val="36"/>
          <w:szCs w:val="36"/>
          <w:lang w:eastAsia="es-UY"/>
          <w14:ligatures w14:val="none"/>
        </w:rPr>
        <w:t>Derechos fundamentales y garantías</w:t>
      </w:r>
    </w:p>
    <w:p w14:paraId="4B3F0F89" w14:textId="77777777" w:rsidR="005318CE" w:rsidRPr="005318CE" w:rsidRDefault="005318CE" w:rsidP="005318CE">
      <w:pPr>
        <w:spacing w:after="0" w:line="240" w:lineRule="auto"/>
        <w:jc w:val="both"/>
        <w:outlineLvl w:val="1"/>
        <w:rPr>
          <w:rFonts w:ascii="Arial" w:eastAsia="Times New Roman" w:hAnsi="Arial" w:cs="Arial"/>
          <w:b/>
          <w:bCs/>
          <w:color w:val="000000"/>
          <w:kern w:val="0"/>
          <w:sz w:val="36"/>
          <w:szCs w:val="36"/>
          <w:lang w:eastAsia="es-UY"/>
          <w14:ligatures w14:val="none"/>
        </w:rPr>
      </w:pPr>
    </w:p>
    <w:p w14:paraId="1DF0C934"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El debate surge principalmente porque esta norma no se encuentra en el Título II, que trata sobre los " </w:t>
      </w:r>
      <w:r w:rsidRPr="005318CE">
        <w:rPr>
          <w:rFonts w:ascii="Arial" w:eastAsia="Times New Roman" w:hAnsi="Arial" w:cs="Arial"/>
          <w:b/>
          <w:bCs/>
          <w:color w:val="666666"/>
          <w:kern w:val="0"/>
          <w:lang w:eastAsia="es-UY"/>
          <w14:ligatures w14:val="none"/>
        </w:rPr>
        <w:t>Derechos y Garantías Fundamentales</w:t>
      </w:r>
      <w:r w:rsidRPr="005318CE">
        <w:rPr>
          <w:rFonts w:ascii="Arial" w:eastAsia="Times New Roman" w:hAnsi="Arial" w:cs="Arial"/>
          <w:color w:val="666666"/>
          <w:kern w:val="0"/>
          <w:lang w:eastAsia="es-UY"/>
          <w14:ligatures w14:val="none"/>
        </w:rPr>
        <w:t> ". Por lo tanto, existen dudas sobre si constituye un derecho fundamental. Sin embargo, la naturaleza jurídica de esta norma no depende simplemente de su ubicación en el texto constitucional. En otras palabras, el mero hecho de que no se encuentre en el título "Derechos y Garantías Fundamentales" no descarta necesariamente la posibilidad de considerarla un derecho fundamental. Así pues, existen argumentos válidos para ambas posturas.</w:t>
      </w:r>
    </w:p>
    <w:p w14:paraId="39639127"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Siempre he criticado a quienes argumentan que esta norma es un derecho fundamental simplemente como estrategia para evitar el debate. En mi opinión, los expertos y las fuerzas políticas que se oponen </w:t>
      </w:r>
      <w:hyperlink r:id="rId20" w:tgtFrame="_blank" w:history="1">
        <w:r w:rsidRPr="005318CE">
          <w:rPr>
            <w:rFonts w:ascii="Arial" w:eastAsia="Times New Roman" w:hAnsi="Arial" w:cs="Arial"/>
            <w:color w:val="FC6B01"/>
            <w:kern w:val="0"/>
            <w:u w:val="single"/>
            <w:lang w:eastAsia="es-UY"/>
            <w14:ligatures w14:val="none"/>
          </w:rPr>
          <w:t>a la reducción de la edad de responsabilidad penal</w:t>
        </w:r>
      </w:hyperlink>
      <w:r w:rsidRPr="005318CE">
        <w:rPr>
          <w:rFonts w:ascii="Arial" w:eastAsia="Times New Roman" w:hAnsi="Arial" w:cs="Arial"/>
          <w:color w:val="666666"/>
          <w:kern w:val="0"/>
          <w:lang w:eastAsia="es-UY"/>
          <w14:ligatures w14:val="none"/>
        </w:rPr>
        <w:t> tienen el deber de explicar su postura a la ciudadanía y buscar convencerla mediante la clarificación. Esto se debe a que, si la demanda social de reducir la edad de responsabilidad penal sigue creciendo, argumentar simplemente que la medida no puede adoptarse debido a la inmutabilidad de la norma (como si se buscara evitar el debate) podría ser contraproducente, contribuyendo a la deslegitimación de la propia Constitución ante la población. Y esto, a su vez, podría contribuir a fortalecer las posturas radicales a favor de una nueva asamblea constituyente, en la que aún más derechos podrían verse amenazados.</w:t>
      </w:r>
    </w:p>
    <w:p w14:paraId="40AFFA48"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3BC46706"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Es importante destacar que la aprobación de la propuesta por la </w:t>
      </w:r>
      <w:r w:rsidRPr="005318CE">
        <w:rPr>
          <w:rFonts w:ascii="Arial" w:eastAsia="Times New Roman" w:hAnsi="Arial" w:cs="Arial"/>
          <w:b/>
          <w:bCs/>
          <w:color w:val="666666"/>
          <w:kern w:val="0"/>
          <w:lang w:eastAsia="es-UY"/>
          <w14:ligatures w14:val="none"/>
        </w:rPr>
        <w:t>Comisión de Constitución y Justicia</w:t>
      </w:r>
      <w:r w:rsidRPr="005318CE">
        <w:rPr>
          <w:rFonts w:ascii="Arial" w:eastAsia="Times New Roman" w:hAnsi="Arial" w:cs="Arial"/>
          <w:color w:val="666666"/>
          <w:kern w:val="0"/>
          <w:lang w:eastAsia="es-UY"/>
          <w14:ligatures w14:val="none"/>
        </w:rPr>
        <w:t> no resuelve esta controversia. El debate podría continuar durante todo el proceso legislativo y, si el Congreso Nacional aprueba una enmienda, es muy probable que su constitucionalidad sea cuestionada ante el </w:t>
      </w:r>
      <w:r w:rsidRPr="005318CE">
        <w:rPr>
          <w:rFonts w:ascii="Arial" w:eastAsia="Times New Roman" w:hAnsi="Arial" w:cs="Arial"/>
          <w:b/>
          <w:bCs/>
          <w:color w:val="666666"/>
          <w:kern w:val="0"/>
          <w:lang w:eastAsia="es-UY"/>
          <w14:ligatures w14:val="none"/>
        </w:rPr>
        <w:t>Supremo Tribunal Federal</w:t>
      </w:r>
      <w:r w:rsidRPr="005318CE">
        <w:rPr>
          <w:rFonts w:ascii="Arial" w:eastAsia="Times New Roman" w:hAnsi="Arial" w:cs="Arial"/>
          <w:color w:val="666666"/>
          <w:kern w:val="0"/>
          <w:lang w:eastAsia="es-UY"/>
          <w14:ligatures w14:val="none"/>
        </w:rPr>
        <w:t> ( </w:t>
      </w:r>
      <w:r w:rsidRPr="005318CE">
        <w:rPr>
          <w:rFonts w:ascii="Arial" w:eastAsia="Times New Roman" w:hAnsi="Arial" w:cs="Arial"/>
          <w:b/>
          <w:bCs/>
          <w:color w:val="666666"/>
          <w:kern w:val="0"/>
          <w:lang w:eastAsia="es-UY"/>
          <w14:ligatures w14:val="none"/>
        </w:rPr>
        <w:t>STF</w:t>
      </w:r>
      <w:r w:rsidRPr="005318CE">
        <w:rPr>
          <w:rFonts w:ascii="Arial" w:eastAsia="Times New Roman" w:hAnsi="Arial" w:cs="Arial"/>
          <w:color w:val="666666"/>
          <w:kern w:val="0"/>
          <w:lang w:eastAsia="es-UY"/>
          <w14:ligatures w14:val="none"/>
        </w:rPr>
        <w:t> ). En otras palabras, el debate actual no se limita a la conveniencia o efectividad de </w:t>
      </w:r>
      <w:hyperlink r:id="rId21" w:tgtFrame="_blank" w:history="1">
        <w:r w:rsidRPr="005318CE">
          <w:rPr>
            <w:rFonts w:ascii="Arial" w:eastAsia="Times New Roman" w:hAnsi="Arial" w:cs="Arial"/>
            <w:color w:val="FC6B01"/>
            <w:kern w:val="0"/>
            <w:u w:val="single"/>
            <w:lang w:eastAsia="es-UY"/>
            <w14:ligatures w14:val="none"/>
          </w:rPr>
          <w:t>reducir la edad de responsabilidad penal</w:t>
        </w:r>
      </w:hyperlink>
      <w:r w:rsidRPr="005318CE">
        <w:rPr>
          <w:rFonts w:ascii="Arial" w:eastAsia="Times New Roman" w:hAnsi="Arial" w:cs="Arial"/>
          <w:color w:val="666666"/>
          <w:kern w:val="0"/>
          <w:lang w:eastAsia="es-UY"/>
          <w14:ligatures w14:val="none"/>
        </w:rPr>
        <w:t> , sino que implica una cuestión jurídica más profunda: si la Constitución permite realizar este cambio mediante una enmienda constitucional o si la protección otorgada a los menores de 18 años forma parte del núcleo intangible del ordenamiento constitucional brasileño.</w:t>
      </w:r>
    </w:p>
    <w:p w14:paraId="2EDE3EA6"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78B1338F" w14:textId="77777777" w:rsid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 xml:space="preserve">IHU – ¿Qué características demuestran una adhesión social y legal al </w:t>
      </w:r>
      <w:proofErr w:type="spellStart"/>
      <w:r w:rsidRPr="005318CE">
        <w:rPr>
          <w:rFonts w:ascii="Arial" w:eastAsia="Times New Roman" w:hAnsi="Arial" w:cs="Arial"/>
          <w:b/>
          <w:bCs/>
          <w:color w:val="BF4E14" w:themeColor="accent2" w:themeShade="BF"/>
          <w:kern w:val="0"/>
          <w:lang w:eastAsia="es-UY"/>
          <w14:ligatures w14:val="none"/>
        </w:rPr>
        <w:t>punitivismo</w:t>
      </w:r>
      <w:proofErr w:type="spellEnd"/>
      <w:r w:rsidRPr="005318CE">
        <w:rPr>
          <w:rFonts w:ascii="Arial" w:eastAsia="Times New Roman" w:hAnsi="Arial" w:cs="Arial"/>
          <w:b/>
          <w:bCs/>
          <w:color w:val="BF4E14" w:themeColor="accent2" w:themeShade="BF"/>
          <w:kern w:val="0"/>
          <w:lang w:eastAsia="es-UY"/>
          <w14:ligatures w14:val="none"/>
        </w:rPr>
        <w:t xml:space="preserve"> en la realidad brasileña?</w:t>
      </w:r>
    </w:p>
    <w:p w14:paraId="32011020"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4113E1BF"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xml:space="preserve"> La adhesión al </w:t>
      </w:r>
      <w:proofErr w:type="spellStart"/>
      <w:r w:rsidRPr="005318CE">
        <w:rPr>
          <w:rFonts w:ascii="Arial" w:eastAsia="Times New Roman" w:hAnsi="Arial" w:cs="Arial"/>
          <w:color w:val="666666"/>
          <w:kern w:val="0"/>
          <w:lang w:eastAsia="es-UY"/>
          <w14:ligatures w14:val="none"/>
        </w:rPr>
        <w:t>punitivismo</w:t>
      </w:r>
      <w:proofErr w:type="spellEnd"/>
      <w:r w:rsidRPr="005318CE">
        <w:rPr>
          <w:rFonts w:ascii="Arial" w:eastAsia="Times New Roman" w:hAnsi="Arial" w:cs="Arial"/>
          <w:color w:val="666666"/>
          <w:kern w:val="0"/>
          <w:lang w:eastAsia="es-UY"/>
          <w14:ligatures w14:val="none"/>
        </w:rPr>
        <w:t xml:space="preserve"> se observa tanto en el ámbito social como en el jurídico. Socialmente, se manifiesta en la frecuente defensa de </w:t>
      </w:r>
      <w:r w:rsidRPr="005318CE">
        <w:rPr>
          <w:rFonts w:ascii="Arial" w:eastAsia="Times New Roman" w:hAnsi="Arial" w:cs="Arial"/>
          <w:b/>
          <w:bCs/>
          <w:color w:val="666666"/>
          <w:kern w:val="0"/>
          <w:lang w:eastAsia="es-UY"/>
          <w14:ligatures w14:val="none"/>
        </w:rPr>
        <w:t>penas más severas</w:t>
      </w:r>
      <w:r w:rsidRPr="005318CE">
        <w:rPr>
          <w:rFonts w:ascii="Arial" w:eastAsia="Times New Roman" w:hAnsi="Arial" w:cs="Arial"/>
          <w:color w:val="666666"/>
          <w:kern w:val="0"/>
          <w:lang w:eastAsia="es-UY"/>
          <w14:ligatures w14:val="none"/>
        </w:rPr>
        <w:t> como principal respuesta a los problemas </w:t>
      </w:r>
      <w:hyperlink r:id="rId22" w:tgtFrame="_blank" w:history="1">
        <w:r w:rsidRPr="005318CE">
          <w:rPr>
            <w:rFonts w:ascii="Arial" w:eastAsia="Times New Roman" w:hAnsi="Arial" w:cs="Arial"/>
            <w:color w:val="FC6B01"/>
            <w:kern w:val="0"/>
            <w:u w:val="single"/>
            <w:lang w:eastAsia="es-UY"/>
            <w14:ligatures w14:val="none"/>
          </w:rPr>
          <w:t>delictivos</w:t>
        </w:r>
      </w:hyperlink>
      <w:r w:rsidRPr="005318CE">
        <w:rPr>
          <w:rFonts w:ascii="Arial" w:eastAsia="Times New Roman" w:hAnsi="Arial" w:cs="Arial"/>
          <w:color w:val="666666"/>
          <w:kern w:val="0"/>
          <w:lang w:eastAsia="es-UY"/>
          <w14:ligatures w14:val="none"/>
        </w:rPr>
        <w:t> , en la amplia aceptación de propuestas para ampliar el sistema penal y en la expectativa de que un mayor castigo, por sí solo, genere mayor </w:t>
      </w:r>
      <w:r w:rsidRPr="005318CE">
        <w:rPr>
          <w:rFonts w:ascii="Arial" w:eastAsia="Times New Roman" w:hAnsi="Arial" w:cs="Arial"/>
          <w:b/>
          <w:bCs/>
          <w:color w:val="666666"/>
          <w:kern w:val="0"/>
          <w:lang w:eastAsia="es-UY"/>
          <w14:ligatures w14:val="none"/>
        </w:rPr>
        <w:t>seguridad pública</w:t>
      </w:r>
      <w:r w:rsidRPr="005318CE">
        <w:rPr>
          <w:rFonts w:ascii="Arial" w:eastAsia="Times New Roman" w:hAnsi="Arial" w:cs="Arial"/>
          <w:color w:val="666666"/>
          <w:kern w:val="0"/>
          <w:lang w:eastAsia="es-UY"/>
          <w14:ligatures w14:val="none"/>
        </w:rPr>
        <w:t> . También es común que eventos mediáticos de gran repercusión generen demandas inmediatas de nuevas leyes penales o del endurecimiento de las existentes.</w:t>
      </w:r>
    </w:p>
    <w:p w14:paraId="09665685"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32C82C56"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 xml:space="preserve">En el ámbito jurídico y legislativo, esta tendencia se manifiesta en la continua ampliación del catálogo de delitos, el aumento de las penas para ciertas </w:t>
      </w:r>
      <w:r w:rsidRPr="005318CE">
        <w:rPr>
          <w:rFonts w:ascii="Arial" w:eastAsia="Times New Roman" w:hAnsi="Arial" w:cs="Arial"/>
          <w:color w:val="666666"/>
          <w:kern w:val="0"/>
          <w:lang w:eastAsia="es-UY"/>
          <w14:ligatures w14:val="none"/>
        </w:rPr>
        <w:lastRenderedPageBreak/>
        <w:t>conductas y la restricción de los beneficios penales y procesales. En las últimas décadas, </w:t>
      </w:r>
      <w:r w:rsidRPr="005318CE">
        <w:rPr>
          <w:rFonts w:ascii="Arial" w:eastAsia="Times New Roman" w:hAnsi="Arial" w:cs="Arial"/>
          <w:b/>
          <w:bCs/>
          <w:color w:val="666666"/>
          <w:kern w:val="0"/>
          <w:lang w:eastAsia="es-UY"/>
          <w14:ligatures w14:val="none"/>
        </w:rPr>
        <w:t>Brasil</w:t>
      </w:r>
      <w:r w:rsidRPr="005318CE">
        <w:rPr>
          <w:rFonts w:ascii="Arial" w:eastAsia="Times New Roman" w:hAnsi="Arial" w:cs="Arial"/>
          <w:color w:val="666666"/>
          <w:kern w:val="0"/>
          <w:lang w:eastAsia="es-UY"/>
          <w14:ligatures w14:val="none"/>
        </w:rPr>
        <w:t> ha experimentado un crecimiento significativo de su población carcelaria, mientras que sucesivas reformas legislativas han buscado endurecer la respuesta penal en diversos ámbitos.</w:t>
      </w:r>
    </w:p>
    <w:p w14:paraId="6780F7E1"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4459B1D0"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La tendencia hacia </w:t>
      </w:r>
      <w:hyperlink r:id="rId23" w:tgtFrame="_blank" w:history="1">
        <w:r w:rsidRPr="005318CE">
          <w:rPr>
            <w:rFonts w:ascii="Arial" w:eastAsia="Times New Roman" w:hAnsi="Arial" w:cs="Arial"/>
            <w:color w:val="FC6B01"/>
            <w:kern w:val="0"/>
            <w:u w:val="single"/>
            <w:lang w:eastAsia="es-UY"/>
            <w14:ligatures w14:val="none"/>
          </w:rPr>
          <w:t xml:space="preserve">el </w:t>
        </w:r>
        <w:proofErr w:type="spellStart"/>
        <w:r w:rsidRPr="005318CE">
          <w:rPr>
            <w:rFonts w:ascii="Arial" w:eastAsia="Times New Roman" w:hAnsi="Arial" w:cs="Arial"/>
            <w:color w:val="FC6B01"/>
            <w:kern w:val="0"/>
            <w:u w:val="single"/>
            <w:lang w:eastAsia="es-UY"/>
            <w14:ligatures w14:val="none"/>
          </w:rPr>
          <w:t>punitivismo</w:t>
        </w:r>
        <w:proofErr w:type="spellEnd"/>
      </w:hyperlink>
      <w:r w:rsidRPr="005318CE">
        <w:rPr>
          <w:rFonts w:ascii="Arial" w:eastAsia="Times New Roman" w:hAnsi="Arial" w:cs="Arial"/>
          <w:color w:val="666666"/>
          <w:kern w:val="0"/>
          <w:lang w:eastAsia="es-UY"/>
          <w14:ligatures w14:val="none"/>
        </w:rPr>
        <w:t> como respuesta rápida y simplista a los problemas sociales es compartida incluso por personas del espectro político progresista, que con frecuencia exigen intervenciones jurídico-penales en asuntos relacionados con las causas que defienden, ya sea en forma de penas más severas, garantías más flexibles para los acusados ​​o simplemente inflando la legislación mediante la creación de </w:t>
      </w:r>
      <w:r w:rsidRPr="005318CE">
        <w:rPr>
          <w:rFonts w:ascii="Arial" w:eastAsia="Times New Roman" w:hAnsi="Arial" w:cs="Arial"/>
          <w:b/>
          <w:bCs/>
          <w:color w:val="666666"/>
          <w:kern w:val="0"/>
          <w:lang w:eastAsia="es-UY"/>
          <w14:ligatures w14:val="none"/>
        </w:rPr>
        <w:t>nuevos delitos</w:t>
      </w:r>
      <w:r w:rsidRPr="005318CE">
        <w:rPr>
          <w:rFonts w:ascii="Arial" w:eastAsia="Times New Roman" w:hAnsi="Arial" w:cs="Arial"/>
          <w:color w:val="666666"/>
          <w:kern w:val="0"/>
          <w:lang w:eastAsia="es-UY"/>
          <w14:ligatures w14:val="none"/>
        </w:rPr>
        <w:t> .</w:t>
      </w:r>
    </w:p>
    <w:p w14:paraId="39D6B4E8" w14:textId="77777777" w:rsidR="005318CE" w:rsidRPr="005318CE" w:rsidRDefault="005318CE" w:rsidP="005318CE">
      <w:pPr>
        <w:spacing w:after="0" w:line="240" w:lineRule="auto"/>
        <w:rPr>
          <w:rFonts w:ascii="Arial" w:eastAsia="Times New Roman" w:hAnsi="Arial" w:cs="Arial"/>
          <w:color w:val="666666"/>
          <w:kern w:val="0"/>
          <w:sz w:val="27"/>
          <w:szCs w:val="27"/>
          <w:lang w:eastAsia="es-UY"/>
          <w14:ligatures w14:val="none"/>
        </w:rPr>
      </w:pPr>
    </w:p>
    <w:p w14:paraId="400758D8"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5318CE">
        <w:rPr>
          <w:rFonts w:ascii="Arial" w:eastAsia="Times New Roman" w:hAnsi="Arial" w:cs="Arial"/>
          <w:b/>
          <w:bCs/>
          <w:i/>
          <w:iCs/>
          <w:color w:val="BF4E14" w:themeColor="accent2" w:themeShade="BF"/>
          <w:kern w:val="0"/>
          <w:sz w:val="27"/>
          <w:szCs w:val="27"/>
          <w:lang w:eastAsia="es-UY"/>
          <w14:ligatures w14:val="none"/>
        </w:rPr>
        <w:t xml:space="preserve">La tendencia hacia el </w:t>
      </w:r>
      <w:proofErr w:type="spellStart"/>
      <w:r w:rsidRPr="005318CE">
        <w:rPr>
          <w:rFonts w:ascii="Arial" w:eastAsia="Times New Roman" w:hAnsi="Arial" w:cs="Arial"/>
          <w:b/>
          <w:bCs/>
          <w:i/>
          <w:iCs/>
          <w:color w:val="BF4E14" w:themeColor="accent2" w:themeShade="BF"/>
          <w:kern w:val="0"/>
          <w:sz w:val="27"/>
          <w:szCs w:val="27"/>
          <w:lang w:eastAsia="es-UY"/>
          <w14:ligatures w14:val="none"/>
        </w:rPr>
        <w:t>punitivismo</w:t>
      </w:r>
      <w:proofErr w:type="spellEnd"/>
      <w:r w:rsidRPr="005318CE">
        <w:rPr>
          <w:rFonts w:ascii="Arial" w:eastAsia="Times New Roman" w:hAnsi="Arial" w:cs="Arial"/>
          <w:b/>
          <w:bCs/>
          <w:i/>
          <w:iCs/>
          <w:color w:val="BF4E14" w:themeColor="accent2" w:themeShade="BF"/>
          <w:kern w:val="0"/>
          <w:sz w:val="27"/>
          <w:szCs w:val="27"/>
          <w:lang w:eastAsia="es-UY"/>
          <w14:ligatures w14:val="none"/>
        </w:rPr>
        <w:t xml:space="preserve"> como respuesta rápida y simplista a los problemas sociales es compartida incluso por personas del espectro político progresista – Alexander </w:t>
      </w:r>
      <w:proofErr w:type="spellStart"/>
      <w:r w:rsidRPr="005318CE">
        <w:rPr>
          <w:rFonts w:ascii="Arial" w:eastAsia="Times New Roman" w:hAnsi="Arial" w:cs="Arial"/>
          <w:b/>
          <w:bCs/>
          <w:i/>
          <w:iCs/>
          <w:color w:val="BF4E14" w:themeColor="accent2" w:themeShade="BF"/>
          <w:kern w:val="0"/>
          <w:sz w:val="27"/>
          <w:szCs w:val="27"/>
          <w:lang w:eastAsia="es-UY"/>
          <w14:ligatures w14:val="none"/>
        </w:rPr>
        <w:t>Rodrigues</w:t>
      </w:r>
      <w:proofErr w:type="spellEnd"/>
      <w:r w:rsidRPr="005318CE">
        <w:rPr>
          <w:rFonts w:ascii="Arial" w:eastAsia="Times New Roman" w:hAnsi="Arial" w:cs="Arial"/>
          <w:b/>
          <w:bCs/>
          <w:i/>
          <w:iCs/>
          <w:color w:val="BF4E14" w:themeColor="accent2" w:themeShade="BF"/>
          <w:kern w:val="0"/>
          <w:sz w:val="27"/>
          <w:szCs w:val="27"/>
          <w:lang w:eastAsia="es-UY"/>
          <w14:ligatures w14:val="none"/>
        </w:rPr>
        <w:t xml:space="preserve"> de Castro</w:t>
      </w:r>
    </w:p>
    <w:p w14:paraId="74E83FF7" w14:textId="711B432A" w:rsidR="005318CE" w:rsidRPr="005318CE" w:rsidRDefault="005318CE" w:rsidP="005318C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0CEADD58"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Es importante señalar que </w:t>
      </w:r>
      <w:r w:rsidRPr="005318CE">
        <w:rPr>
          <w:rFonts w:ascii="Arial" w:eastAsia="Times New Roman" w:hAnsi="Arial" w:cs="Arial"/>
          <w:b/>
          <w:bCs/>
          <w:color w:val="666666"/>
          <w:kern w:val="0"/>
          <w:lang w:eastAsia="es-UY"/>
          <w14:ligatures w14:val="none"/>
        </w:rPr>
        <w:t xml:space="preserve">el </w:t>
      </w:r>
      <w:proofErr w:type="spellStart"/>
      <w:r w:rsidRPr="005318CE">
        <w:rPr>
          <w:rFonts w:ascii="Arial" w:eastAsia="Times New Roman" w:hAnsi="Arial" w:cs="Arial"/>
          <w:b/>
          <w:bCs/>
          <w:color w:val="666666"/>
          <w:kern w:val="0"/>
          <w:lang w:eastAsia="es-UY"/>
          <w14:ligatures w14:val="none"/>
        </w:rPr>
        <w:t>punitivismo</w:t>
      </w:r>
      <w:proofErr w:type="spellEnd"/>
      <w:r w:rsidRPr="005318CE">
        <w:rPr>
          <w:rFonts w:ascii="Arial" w:eastAsia="Times New Roman" w:hAnsi="Arial" w:cs="Arial"/>
          <w:color w:val="666666"/>
          <w:kern w:val="0"/>
          <w:lang w:eastAsia="es-UY"/>
          <w14:ligatures w14:val="none"/>
        </w:rPr>
        <w:t> no se deriva únicamente de decisiones políticas o legislativas. También refleja una auténtica demanda social de protección contra la violencia. En una sociedad con altos índices de criminalidad, es natural que la población espere respuestas firmes del Estado. El reto reside en equilibrar esta legítima expectativa de seguridad con políticas públicas basadas en la evidencia, evitando la creencia de que simplemente aumentar los castigos es suficiente para resolver problemas complejos relacionados con </w:t>
      </w:r>
      <w:hyperlink r:id="rId24" w:tgtFrame="_blank" w:history="1">
        <w:r w:rsidRPr="005318CE">
          <w:rPr>
            <w:rFonts w:ascii="Arial" w:eastAsia="Times New Roman" w:hAnsi="Arial" w:cs="Arial"/>
            <w:color w:val="FC6B01"/>
            <w:kern w:val="0"/>
            <w:u w:val="single"/>
            <w:lang w:eastAsia="es-UY"/>
            <w14:ligatures w14:val="none"/>
          </w:rPr>
          <w:t>la delincuencia</w:t>
        </w:r>
      </w:hyperlink>
      <w:r w:rsidRPr="005318CE">
        <w:rPr>
          <w:rFonts w:ascii="Arial" w:eastAsia="Times New Roman" w:hAnsi="Arial" w:cs="Arial"/>
          <w:color w:val="666666"/>
          <w:kern w:val="0"/>
          <w:lang w:eastAsia="es-UY"/>
          <w14:ligatures w14:val="none"/>
        </w:rPr>
        <w:t> .</w:t>
      </w:r>
    </w:p>
    <w:p w14:paraId="2D5ADFF3"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293A4120"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En este contexto, el debate sobre </w:t>
      </w:r>
      <w:r w:rsidRPr="005318CE">
        <w:rPr>
          <w:rFonts w:ascii="Arial" w:eastAsia="Times New Roman" w:hAnsi="Arial" w:cs="Arial"/>
          <w:b/>
          <w:bCs/>
          <w:color w:val="666666"/>
          <w:kern w:val="0"/>
          <w:lang w:eastAsia="es-UY"/>
          <w14:ligatures w14:val="none"/>
        </w:rPr>
        <w:t>la reducción de la edad de responsabilidad penal</w:t>
      </w:r>
      <w:r w:rsidRPr="005318CE">
        <w:rPr>
          <w:rFonts w:ascii="Arial" w:eastAsia="Times New Roman" w:hAnsi="Arial" w:cs="Arial"/>
          <w:color w:val="666666"/>
          <w:kern w:val="0"/>
          <w:lang w:eastAsia="es-UY"/>
          <w14:ligatures w14:val="none"/>
        </w:rPr>
        <w:t> suele interpretarse en cierta literatura especializada como una manifestación de esta lógica punitiva. Sus defensores generalmente enfatizan la necesidad de ampliar la</w:t>
      </w:r>
      <w:r w:rsidRPr="005318CE">
        <w:rPr>
          <w:rFonts w:ascii="Arial" w:eastAsia="Times New Roman" w:hAnsi="Arial" w:cs="Arial"/>
          <w:color w:val="666666"/>
          <w:kern w:val="0"/>
          <w:sz w:val="27"/>
          <w:szCs w:val="27"/>
          <w:lang w:eastAsia="es-UY"/>
          <w14:ligatures w14:val="none"/>
        </w:rPr>
        <w:t xml:space="preserve"> </w:t>
      </w:r>
      <w:r w:rsidRPr="005318CE">
        <w:rPr>
          <w:rFonts w:ascii="Arial" w:eastAsia="Times New Roman" w:hAnsi="Arial" w:cs="Arial"/>
          <w:color w:val="666666"/>
          <w:kern w:val="0"/>
          <w:lang w:eastAsia="es-UY"/>
          <w14:ligatures w14:val="none"/>
        </w:rPr>
        <w:t>responsabilidad de los autores de actos graves, mientras que sus críticos argumentan que la propuesta prioriza la expansión del poder punitivo del Estado sin abordar las múltiples causas que contribuyen a la </w:t>
      </w:r>
      <w:hyperlink r:id="rId25" w:tgtFrame="_blank" w:history="1">
        <w:r w:rsidRPr="005318CE">
          <w:rPr>
            <w:rFonts w:ascii="Arial" w:eastAsia="Times New Roman" w:hAnsi="Arial" w:cs="Arial"/>
            <w:color w:val="FC6B01"/>
            <w:kern w:val="0"/>
            <w:u w:val="single"/>
            <w:lang w:eastAsia="es-UY"/>
            <w14:ligatures w14:val="none"/>
          </w:rPr>
          <w:t>violencia juvenil</w:t>
        </w:r>
      </w:hyperlink>
      <w:r w:rsidRPr="005318CE">
        <w:rPr>
          <w:rFonts w:ascii="Arial" w:eastAsia="Times New Roman" w:hAnsi="Arial" w:cs="Arial"/>
          <w:color w:val="666666"/>
          <w:kern w:val="0"/>
          <w:lang w:eastAsia="es-UY"/>
          <w14:ligatures w14:val="none"/>
        </w:rPr>
        <w:t> . La existencia de este desacuerdo demuestra que la discusión no solo involucra cuestiones legales, sino también diferentes concepciones sobre las formas más apropiadas de promover </w:t>
      </w:r>
      <w:hyperlink r:id="rId26" w:tgtFrame="_blank" w:history="1">
        <w:r w:rsidRPr="005318CE">
          <w:rPr>
            <w:rFonts w:ascii="Arial" w:eastAsia="Times New Roman" w:hAnsi="Arial" w:cs="Arial"/>
            <w:color w:val="FC6B01"/>
            <w:kern w:val="0"/>
            <w:u w:val="single"/>
            <w:lang w:eastAsia="es-UY"/>
            <w14:ligatures w14:val="none"/>
          </w:rPr>
          <w:t>la seguridad pública</w:t>
        </w:r>
      </w:hyperlink>
      <w:r w:rsidRPr="005318CE">
        <w:rPr>
          <w:rFonts w:ascii="Arial" w:eastAsia="Times New Roman" w:hAnsi="Arial" w:cs="Arial"/>
          <w:color w:val="666666"/>
          <w:kern w:val="0"/>
          <w:lang w:eastAsia="es-UY"/>
          <w14:ligatures w14:val="none"/>
        </w:rPr>
        <w:t> .</w:t>
      </w:r>
    </w:p>
    <w:p w14:paraId="5D9877C3"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3AE13F65" w14:textId="77777777" w:rsidR="005318CE" w:rsidRP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¿Qué influencia tienen las prácticas punitivas de Estados Unidos en Brasil?</w:t>
      </w:r>
    </w:p>
    <w:p w14:paraId="1001C2FC"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6E49C634"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La influencia norteamericana en </w:t>
      </w:r>
      <w:hyperlink r:id="rId27" w:tgtFrame="_blank" w:history="1">
        <w:r w:rsidRPr="005318CE">
          <w:rPr>
            <w:rFonts w:ascii="Arial" w:eastAsia="Times New Roman" w:hAnsi="Arial" w:cs="Arial"/>
            <w:color w:val="FC6B01"/>
            <w:kern w:val="0"/>
            <w:u w:val="single"/>
            <w:lang w:eastAsia="es-UY"/>
            <w14:ligatures w14:val="none"/>
          </w:rPr>
          <w:t>la política criminal brasileña</w:t>
        </w:r>
      </w:hyperlink>
      <w:r w:rsidRPr="005318CE">
        <w:rPr>
          <w:rFonts w:ascii="Arial" w:eastAsia="Times New Roman" w:hAnsi="Arial" w:cs="Arial"/>
          <w:color w:val="666666"/>
          <w:kern w:val="0"/>
          <w:lang w:eastAsia="es-UY"/>
          <w14:ligatures w14:val="none"/>
        </w:rPr>
        <w:t> es un fenómeno ampliamente reconocido en la literatura especializada, especialmente a partir de las décadas de 1980 y 1990. Durante este período, los modelos de endurecimiento penal asociados al movimiento conocido como </w:t>
      </w:r>
      <w:r w:rsidRPr="005318CE">
        <w:rPr>
          <w:rFonts w:ascii="Arial" w:eastAsia="Times New Roman" w:hAnsi="Arial" w:cs="Arial"/>
          <w:i/>
          <w:iCs/>
          <w:color w:val="666666"/>
          <w:kern w:val="0"/>
          <w:lang w:eastAsia="es-UY"/>
          <w14:ligatures w14:val="none"/>
        </w:rPr>
        <w:t>ley y orden</w:t>
      </w:r>
      <w:r w:rsidRPr="005318CE">
        <w:rPr>
          <w:rFonts w:ascii="Arial" w:eastAsia="Times New Roman" w:hAnsi="Arial" w:cs="Arial"/>
          <w:color w:val="666666"/>
          <w:kern w:val="0"/>
          <w:lang w:eastAsia="es-UY"/>
          <w14:ligatures w14:val="none"/>
        </w:rPr>
        <w:t> adquirieron prominencia internacional , abogando por el aumento de las penas, la ampliación del encarcelamiento y un enfoque más riguroso del </w:t>
      </w:r>
      <w:r w:rsidRPr="005318CE">
        <w:rPr>
          <w:rFonts w:ascii="Arial" w:eastAsia="Times New Roman" w:hAnsi="Arial" w:cs="Arial"/>
          <w:b/>
          <w:bCs/>
          <w:color w:val="666666"/>
          <w:kern w:val="0"/>
          <w:lang w:eastAsia="es-UY"/>
          <w14:ligatures w14:val="none"/>
        </w:rPr>
        <w:t>sistema de justicia penal</w:t>
      </w:r>
      <w:r w:rsidRPr="005318CE">
        <w:rPr>
          <w:rFonts w:ascii="Arial" w:eastAsia="Times New Roman" w:hAnsi="Arial" w:cs="Arial"/>
          <w:color w:val="666666"/>
          <w:kern w:val="0"/>
          <w:lang w:eastAsia="es-UY"/>
          <w14:ligatures w14:val="none"/>
        </w:rPr>
        <w:t> como estrategias centrales para </w:t>
      </w:r>
      <w:hyperlink r:id="rId28" w:tgtFrame="_blank" w:history="1">
        <w:r w:rsidRPr="005318CE">
          <w:rPr>
            <w:rFonts w:ascii="Arial" w:eastAsia="Times New Roman" w:hAnsi="Arial" w:cs="Arial"/>
            <w:color w:val="FC6B01"/>
            <w:kern w:val="0"/>
            <w:u w:val="single"/>
            <w:lang w:eastAsia="es-UY"/>
            <w14:ligatures w14:val="none"/>
          </w:rPr>
          <w:t>combatir el crimen</w:t>
        </w:r>
      </w:hyperlink>
      <w:r w:rsidRPr="005318CE">
        <w:rPr>
          <w:rFonts w:ascii="Arial" w:eastAsia="Times New Roman" w:hAnsi="Arial" w:cs="Arial"/>
          <w:color w:val="666666"/>
          <w:kern w:val="0"/>
          <w:lang w:eastAsia="es-UY"/>
          <w14:ligatures w14:val="none"/>
        </w:rPr>
        <w:t> .</w:t>
      </w:r>
    </w:p>
    <w:p w14:paraId="195CDA2D"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1F45A1CB"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lastRenderedPageBreak/>
        <w:t>En Brasil, varias propuestas legislativas han comenzado a abordar, directa o indirectamente, esta lógica. El fortalecimiento de los discursos a favor del </w:t>
      </w:r>
      <w:r w:rsidRPr="005318CE">
        <w:rPr>
          <w:rFonts w:ascii="Arial" w:eastAsia="Times New Roman" w:hAnsi="Arial" w:cs="Arial"/>
          <w:b/>
          <w:bCs/>
          <w:color w:val="666666"/>
          <w:kern w:val="0"/>
          <w:lang w:eastAsia="es-UY"/>
          <w14:ligatures w14:val="none"/>
        </w:rPr>
        <w:t>encarcelamiento</w:t>
      </w:r>
      <w:r w:rsidRPr="005318CE">
        <w:rPr>
          <w:rFonts w:ascii="Arial" w:eastAsia="Times New Roman" w:hAnsi="Arial" w:cs="Arial"/>
          <w:color w:val="666666"/>
          <w:kern w:val="0"/>
          <w:lang w:eastAsia="es-UY"/>
          <w14:ligatures w14:val="none"/>
        </w:rPr>
        <w:t> , la creación de nuevos delitos, el agravamiento de las penas y la restricción de los beneficios procesales reflejan, en cierta medida, tendencias que también se observaron en Estados Unidos durante el período de expansión de sus </w:t>
      </w:r>
      <w:hyperlink r:id="rId29" w:tgtFrame="_blank" w:history="1">
        <w:r w:rsidRPr="005318CE">
          <w:rPr>
            <w:rFonts w:ascii="Arial" w:eastAsia="Times New Roman" w:hAnsi="Arial" w:cs="Arial"/>
            <w:color w:val="FC6B01"/>
            <w:kern w:val="0"/>
            <w:u w:val="single"/>
            <w:lang w:eastAsia="es-UY"/>
            <w14:ligatures w14:val="none"/>
          </w:rPr>
          <w:t>políticas penales</w:t>
        </w:r>
      </w:hyperlink>
      <w:r w:rsidRPr="005318CE">
        <w:rPr>
          <w:rFonts w:ascii="Arial" w:eastAsia="Times New Roman" w:hAnsi="Arial" w:cs="Arial"/>
          <w:color w:val="666666"/>
          <w:kern w:val="0"/>
          <w:lang w:eastAsia="es-UY"/>
          <w14:ligatures w14:val="none"/>
        </w:rPr>
        <w:t> .</w:t>
      </w:r>
    </w:p>
    <w:p w14:paraId="73F503A1"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4D5CA79C"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Sin embargo, es importante evitar la simplificación excesiva. La realidad brasileña tiene sus propias características y no puede explicarse únicamente por la influencia extranjera. El aumento de </w:t>
      </w:r>
      <w:r w:rsidRPr="005318CE">
        <w:rPr>
          <w:rFonts w:ascii="Arial" w:eastAsia="Times New Roman" w:hAnsi="Arial" w:cs="Arial"/>
          <w:b/>
          <w:bCs/>
          <w:color w:val="666666"/>
          <w:kern w:val="0"/>
          <w:lang w:eastAsia="es-UY"/>
          <w14:ligatures w14:val="none"/>
        </w:rPr>
        <w:t>la delincuencia urbana</w:t>
      </w:r>
      <w:r w:rsidRPr="005318CE">
        <w:rPr>
          <w:rFonts w:ascii="Arial" w:eastAsia="Times New Roman" w:hAnsi="Arial" w:cs="Arial"/>
          <w:color w:val="666666"/>
          <w:kern w:val="0"/>
          <w:lang w:eastAsia="es-UY"/>
          <w14:ligatures w14:val="none"/>
        </w:rPr>
        <w:t> , la expansión de las organizaciones criminales, la sensación de inseguridad de la población y las demandas internas de mayor protección también han contribuido a la adopción de políticas más estrictas. En otras palabras, las ideas punitivas fueron bien recibidas porque abordaban problemas concretos que enfrenta nuestra sociedad.</w:t>
      </w:r>
    </w:p>
    <w:p w14:paraId="222EBEC3"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7696F4B8"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Por lo tanto, sería más preciso afirmar que </w:t>
      </w:r>
      <w:r w:rsidRPr="005318CE">
        <w:rPr>
          <w:rFonts w:ascii="Arial" w:eastAsia="Times New Roman" w:hAnsi="Arial" w:cs="Arial"/>
          <w:b/>
          <w:bCs/>
          <w:color w:val="666666"/>
          <w:kern w:val="0"/>
          <w:lang w:eastAsia="es-UY"/>
          <w14:ligatures w14:val="none"/>
        </w:rPr>
        <w:t>Brasil</w:t>
      </w:r>
      <w:r w:rsidRPr="005318CE">
        <w:rPr>
          <w:rFonts w:ascii="Arial" w:eastAsia="Times New Roman" w:hAnsi="Arial" w:cs="Arial"/>
          <w:color w:val="666666"/>
          <w:kern w:val="0"/>
          <w:lang w:eastAsia="es-UY"/>
          <w14:ligatures w14:val="none"/>
        </w:rPr>
        <w:t> no se limitó a importar </w:t>
      </w:r>
      <w:hyperlink r:id="rId30" w:tgtFrame="_blank" w:history="1">
        <w:r w:rsidRPr="005318CE">
          <w:rPr>
            <w:rFonts w:ascii="Arial" w:eastAsia="Times New Roman" w:hAnsi="Arial" w:cs="Arial"/>
            <w:color w:val="FC6B01"/>
            <w:kern w:val="0"/>
            <w:u w:val="single"/>
            <w:lang w:eastAsia="es-UY"/>
            <w14:ligatures w14:val="none"/>
          </w:rPr>
          <w:t>las políticas criminales estadounidenses</w:t>
        </w:r>
      </w:hyperlink>
      <w:r w:rsidRPr="005318CE">
        <w:rPr>
          <w:rFonts w:ascii="Arial" w:eastAsia="Times New Roman" w:hAnsi="Arial" w:cs="Arial"/>
          <w:color w:val="666666"/>
          <w:kern w:val="0"/>
          <w:lang w:eastAsia="es-UY"/>
          <w14:ligatures w14:val="none"/>
        </w:rPr>
        <w:t> , sino que incorporó algunos de sus discursos y estrategias dentro de un contexto nacional marcado por desafíos específicos en </w:t>
      </w:r>
      <w:r w:rsidRPr="005318CE">
        <w:rPr>
          <w:rFonts w:ascii="Arial" w:eastAsia="Times New Roman" w:hAnsi="Arial" w:cs="Arial"/>
          <w:b/>
          <w:bCs/>
          <w:color w:val="666666"/>
          <w:kern w:val="0"/>
          <w:lang w:eastAsia="es-UY"/>
          <w14:ligatures w14:val="none"/>
        </w:rPr>
        <w:t>materia de seguridad pública</w:t>
      </w:r>
      <w:r w:rsidRPr="005318CE">
        <w:rPr>
          <w:rFonts w:ascii="Arial" w:eastAsia="Times New Roman" w:hAnsi="Arial" w:cs="Arial"/>
          <w:color w:val="666666"/>
          <w:kern w:val="0"/>
          <w:lang w:eastAsia="es-UY"/>
          <w14:ligatures w14:val="none"/>
        </w:rPr>
        <w:t> . La influencia existe, pero se combina con factores políticos, sociales e institucionales típicamente brasileños.</w:t>
      </w:r>
    </w:p>
    <w:p w14:paraId="50151F6A"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18372A03"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5318CE">
        <w:rPr>
          <w:rFonts w:ascii="Arial" w:eastAsia="Times New Roman" w:hAnsi="Arial" w:cs="Arial"/>
          <w:b/>
          <w:bCs/>
          <w:i/>
          <w:iCs/>
          <w:color w:val="BF4E14" w:themeColor="accent2" w:themeShade="BF"/>
          <w:kern w:val="0"/>
          <w:sz w:val="27"/>
          <w:szCs w:val="27"/>
          <w:lang w:eastAsia="es-UY"/>
          <w14:ligatures w14:val="none"/>
        </w:rPr>
        <w:t xml:space="preserve">Brasil no se limitó a importar las políticas criminales estadounidenses, sino que incorporó partes de su discurso y estrategias a un contexto nacional marcado por desafíos específicos de seguridad pública. – Alexander </w:t>
      </w:r>
      <w:proofErr w:type="spellStart"/>
      <w:r w:rsidRPr="005318CE">
        <w:rPr>
          <w:rFonts w:ascii="Arial" w:eastAsia="Times New Roman" w:hAnsi="Arial" w:cs="Arial"/>
          <w:b/>
          <w:bCs/>
          <w:i/>
          <w:iCs/>
          <w:color w:val="BF4E14" w:themeColor="accent2" w:themeShade="BF"/>
          <w:kern w:val="0"/>
          <w:sz w:val="27"/>
          <w:szCs w:val="27"/>
          <w:lang w:eastAsia="es-UY"/>
          <w14:ligatures w14:val="none"/>
        </w:rPr>
        <w:t>Rodrigues</w:t>
      </w:r>
      <w:proofErr w:type="spellEnd"/>
      <w:r w:rsidRPr="005318CE">
        <w:rPr>
          <w:rFonts w:ascii="Arial" w:eastAsia="Times New Roman" w:hAnsi="Arial" w:cs="Arial"/>
          <w:b/>
          <w:bCs/>
          <w:i/>
          <w:iCs/>
          <w:color w:val="BF4E14" w:themeColor="accent2" w:themeShade="BF"/>
          <w:kern w:val="0"/>
          <w:sz w:val="27"/>
          <w:szCs w:val="27"/>
          <w:lang w:eastAsia="es-UY"/>
          <w14:ligatures w14:val="none"/>
        </w:rPr>
        <w:t xml:space="preserve"> de Castro</w:t>
      </w:r>
    </w:p>
    <w:p w14:paraId="17536F9D" w14:textId="5562F2C2" w:rsidR="005318CE" w:rsidRPr="005318CE" w:rsidRDefault="005318CE" w:rsidP="005318CE">
      <w:pPr>
        <w:spacing w:after="0" w:line="240" w:lineRule="auto"/>
        <w:jc w:val="both"/>
        <w:rPr>
          <w:rFonts w:ascii="Times New Roman" w:eastAsia="Times New Roman" w:hAnsi="Times New Roman" w:cs="Times New Roman"/>
          <w:b/>
          <w:bCs/>
          <w:i/>
          <w:iCs/>
          <w:color w:val="FC6B01"/>
          <w:kern w:val="0"/>
          <w:lang w:eastAsia="es-UY"/>
          <w14:ligatures w14:val="none"/>
        </w:rPr>
      </w:pPr>
    </w:p>
    <w:p w14:paraId="76ED8830" w14:textId="77777777" w:rsid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¿Cómo interfieren y obstaculizan las prácticas punitivas la implementación de otras medidas para rehabilitar a los jóvenes adolescentes involucrados en delitos?</w:t>
      </w:r>
    </w:p>
    <w:p w14:paraId="5945411F"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118E9572"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Los enfoques predominantemente punitivos pueden obstaculizar la implementación de políticas de prevención y reinserción social, ya que tienden a centrar la atención pública y los recursos estatales en la </w:t>
      </w:r>
      <w:hyperlink r:id="rId31" w:tgtFrame="_blank" w:history="1">
        <w:r w:rsidRPr="005318CE">
          <w:rPr>
            <w:rFonts w:ascii="Arial" w:eastAsia="Times New Roman" w:hAnsi="Arial" w:cs="Arial"/>
            <w:color w:val="FC6B01"/>
            <w:kern w:val="0"/>
            <w:u w:val="single"/>
            <w:lang w:eastAsia="es-UY"/>
            <w14:ligatures w14:val="none"/>
          </w:rPr>
          <w:t>respuesta penal</w:t>
        </w:r>
      </w:hyperlink>
      <w:r w:rsidRPr="005318CE">
        <w:rPr>
          <w:rFonts w:ascii="Arial" w:eastAsia="Times New Roman" w:hAnsi="Arial" w:cs="Arial"/>
          <w:color w:val="666666"/>
          <w:kern w:val="0"/>
          <w:lang w:eastAsia="es-UY"/>
          <w14:ligatures w14:val="none"/>
        </w:rPr>
        <w:t> , en detrimento de las medidas dirigidas a las causas y los factores de riesgo asociados con la participación de los adolescentes en la delincuencia. Cuando el debate público se centra en discusiones sobre castigo, </w:t>
      </w:r>
      <w:r w:rsidRPr="005318CE">
        <w:rPr>
          <w:rFonts w:ascii="Arial" w:eastAsia="Times New Roman" w:hAnsi="Arial" w:cs="Arial"/>
          <w:b/>
          <w:bCs/>
          <w:color w:val="666666"/>
          <w:kern w:val="0"/>
          <w:lang w:eastAsia="es-UY"/>
          <w14:ligatures w14:val="none"/>
        </w:rPr>
        <w:t>encarcelamiento</w:t>
      </w:r>
      <w:r w:rsidRPr="005318CE">
        <w:rPr>
          <w:rFonts w:ascii="Arial" w:eastAsia="Times New Roman" w:hAnsi="Arial" w:cs="Arial"/>
          <w:color w:val="666666"/>
          <w:kern w:val="0"/>
          <w:lang w:eastAsia="es-UY"/>
          <w14:ligatures w14:val="none"/>
        </w:rPr>
        <w:t> y mayor severidad de las sanciones, las iniciativas relacionadas con la educación, la asistencia social, la salud mental, la formación profesional y el fortalecimiento de los lazos familiares suelen recibir menor visibilidad y apoyo político.</w:t>
      </w:r>
    </w:p>
    <w:p w14:paraId="40F63F5E"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26080192"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Además, </w:t>
      </w:r>
      <w:hyperlink r:id="rId32" w:tgtFrame="_blank" w:history="1">
        <w:r w:rsidRPr="005318CE">
          <w:rPr>
            <w:rFonts w:ascii="Arial" w:eastAsia="Times New Roman" w:hAnsi="Arial" w:cs="Arial"/>
            <w:color w:val="FC6B01"/>
            <w:kern w:val="0"/>
            <w:u w:val="single"/>
            <w:lang w:eastAsia="es-UY"/>
            <w14:ligatures w14:val="none"/>
          </w:rPr>
          <w:t xml:space="preserve">el </w:t>
        </w:r>
        <w:proofErr w:type="spellStart"/>
        <w:r w:rsidRPr="005318CE">
          <w:rPr>
            <w:rFonts w:ascii="Arial" w:eastAsia="Times New Roman" w:hAnsi="Arial" w:cs="Arial"/>
            <w:color w:val="FC6B01"/>
            <w:kern w:val="0"/>
            <w:u w:val="single"/>
            <w:lang w:eastAsia="es-UY"/>
            <w14:ligatures w14:val="none"/>
          </w:rPr>
          <w:t>punitivismo</w:t>
        </w:r>
        <w:proofErr w:type="spellEnd"/>
      </w:hyperlink>
      <w:r w:rsidRPr="005318CE">
        <w:rPr>
          <w:rFonts w:ascii="Arial" w:eastAsia="Times New Roman" w:hAnsi="Arial" w:cs="Arial"/>
          <w:color w:val="666666"/>
          <w:kern w:val="0"/>
          <w:lang w:eastAsia="es-UY"/>
          <w14:ligatures w14:val="none"/>
        </w:rPr>
        <w:t> suele asociarse con la idea de que los jóvenes infractores son, en esencia, un problema </w:t>
      </w:r>
      <w:hyperlink r:id="rId33" w:tgtFrame="_blank" w:history="1">
        <w:r w:rsidRPr="005318CE">
          <w:rPr>
            <w:rFonts w:ascii="Arial" w:eastAsia="Times New Roman" w:hAnsi="Arial" w:cs="Arial"/>
            <w:color w:val="FC6B01"/>
            <w:kern w:val="0"/>
            <w:u w:val="single"/>
            <w:lang w:eastAsia="es-UY"/>
            <w14:ligatures w14:val="none"/>
          </w:rPr>
          <w:t>de seguridad pública</w:t>
        </w:r>
      </w:hyperlink>
      <w:r w:rsidRPr="005318CE">
        <w:rPr>
          <w:rFonts w:ascii="Arial" w:eastAsia="Times New Roman" w:hAnsi="Arial" w:cs="Arial"/>
          <w:color w:val="666666"/>
          <w:kern w:val="0"/>
          <w:lang w:eastAsia="es-UY"/>
          <w14:ligatures w14:val="none"/>
        </w:rPr>
        <w:t> que debe ser neutralizado, y no también individuos en proceso de desarrollo que pueden ser objeto de intervenciones orientadas a la </w:t>
      </w:r>
      <w:hyperlink r:id="rId34" w:tgtFrame="_blank" w:history="1">
        <w:r w:rsidRPr="005318CE">
          <w:rPr>
            <w:rFonts w:ascii="Arial" w:eastAsia="Times New Roman" w:hAnsi="Arial" w:cs="Arial"/>
            <w:color w:val="FC6B01"/>
            <w:kern w:val="0"/>
            <w:u w:val="single"/>
            <w:lang w:eastAsia="es-UY"/>
            <w14:ligatures w14:val="none"/>
          </w:rPr>
          <w:t>resocialización</w:t>
        </w:r>
      </w:hyperlink>
      <w:r w:rsidRPr="005318CE">
        <w:rPr>
          <w:rFonts w:ascii="Arial" w:eastAsia="Times New Roman" w:hAnsi="Arial" w:cs="Arial"/>
          <w:color w:val="666666"/>
          <w:kern w:val="0"/>
          <w:lang w:eastAsia="es-UY"/>
          <w14:ligatures w14:val="none"/>
        </w:rPr>
        <w:t> . Esta perspectiva puede limitar el alcance de las políticas que buscan comprender las múltiples vulnerabilidades presentes en las trayectorias de muchos adolescentes involucrados en actos delictivos.</w:t>
      </w:r>
    </w:p>
    <w:p w14:paraId="41952DFD"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1C30F8A3"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lang w:eastAsia="es-UY"/>
          <w14:ligatures w14:val="none"/>
        </w:rPr>
      </w:pPr>
      <w:r w:rsidRPr="005318CE">
        <w:rPr>
          <w:rFonts w:ascii="Arial" w:eastAsia="Times New Roman" w:hAnsi="Arial" w:cs="Arial"/>
          <w:b/>
          <w:bCs/>
          <w:i/>
          <w:iCs/>
          <w:color w:val="BF4E14" w:themeColor="accent2" w:themeShade="BF"/>
          <w:kern w:val="0"/>
          <w:lang w:eastAsia="es-UY"/>
          <w14:ligatures w14:val="none"/>
        </w:rPr>
        <w:t xml:space="preserve">El </w:t>
      </w:r>
      <w:proofErr w:type="spellStart"/>
      <w:r w:rsidRPr="005318CE">
        <w:rPr>
          <w:rFonts w:ascii="Arial" w:eastAsia="Times New Roman" w:hAnsi="Arial" w:cs="Arial"/>
          <w:b/>
          <w:bCs/>
          <w:i/>
          <w:iCs/>
          <w:color w:val="BF4E14" w:themeColor="accent2" w:themeShade="BF"/>
          <w:kern w:val="0"/>
          <w:lang w:eastAsia="es-UY"/>
          <w14:ligatures w14:val="none"/>
        </w:rPr>
        <w:t>punitivismo</w:t>
      </w:r>
      <w:proofErr w:type="spellEnd"/>
      <w:r w:rsidRPr="005318CE">
        <w:rPr>
          <w:rFonts w:ascii="Arial" w:eastAsia="Times New Roman" w:hAnsi="Arial" w:cs="Arial"/>
          <w:b/>
          <w:bCs/>
          <w:i/>
          <w:iCs/>
          <w:color w:val="BF4E14" w:themeColor="accent2" w:themeShade="BF"/>
          <w:kern w:val="0"/>
          <w:lang w:eastAsia="es-UY"/>
          <w14:ligatures w14:val="none"/>
        </w:rPr>
        <w:t xml:space="preserve"> suele asociarse con la idea de que los jóvenes infractores son esencialmente un problema de seguridad pública que debe ser neutralizado, y no también individuos en proceso de desarrollo que pueden ser objeto de intervenciones dirigidas a la resocialización – Alexander </w:t>
      </w:r>
      <w:proofErr w:type="spellStart"/>
      <w:r w:rsidRPr="005318CE">
        <w:rPr>
          <w:rFonts w:ascii="Arial" w:eastAsia="Times New Roman" w:hAnsi="Arial" w:cs="Arial"/>
          <w:b/>
          <w:bCs/>
          <w:i/>
          <w:iCs/>
          <w:color w:val="BF4E14" w:themeColor="accent2" w:themeShade="BF"/>
          <w:kern w:val="0"/>
          <w:lang w:eastAsia="es-UY"/>
          <w14:ligatures w14:val="none"/>
        </w:rPr>
        <w:t>Rodrigues</w:t>
      </w:r>
      <w:proofErr w:type="spellEnd"/>
      <w:r w:rsidRPr="005318CE">
        <w:rPr>
          <w:rFonts w:ascii="Arial" w:eastAsia="Times New Roman" w:hAnsi="Arial" w:cs="Arial"/>
          <w:b/>
          <w:bCs/>
          <w:i/>
          <w:iCs/>
          <w:color w:val="BF4E14" w:themeColor="accent2" w:themeShade="BF"/>
          <w:kern w:val="0"/>
          <w:lang w:eastAsia="es-UY"/>
          <w14:ligatures w14:val="none"/>
        </w:rPr>
        <w:t xml:space="preserve"> de Castro</w:t>
      </w:r>
    </w:p>
    <w:p w14:paraId="1DBF3A57" w14:textId="13121BA1" w:rsidR="005318CE" w:rsidRPr="005318CE" w:rsidRDefault="005318CE" w:rsidP="005318CE">
      <w:pPr>
        <w:spacing w:after="0" w:line="240" w:lineRule="auto"/>
        <w:jc w:val="both"/>
        <w:rPr>
          <w:rFonts w:ascii="Times New Roman" w:eastAsia="Times New Roman" w:hAnsi="Times New Roman" w:cs="Times New Roman"/>
          <w:b/>
          <w:bCs/>
          <w:i/>
          <w:iCs/>
          <w:color w:val="FC6B01"/>
          <w:kern w:val="0"/>
          <w:lang w:eastAsia="es-UY"/>
          <w14:ligatures w14:val="none"/>
        </w:rPr>
      </w:pPr>
    </w:p>
    <w:p w14:paraId="4C2DED21"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Desde la perspectiva de la evidencia disponible, la rehabilitación de jóvenes infractores tiende a depender de estrategias múltiples y coordinadas. La rendición de cuentas es un componente importante, pero generalmente no es suficiente por sí sola. Los programas educativos, el apoyo psicosocial, el apoyo familiar, la formación profesional y las oportunidades concretas de reintegración social son citados con frecuencia por los expertos como elementos relevantes para reducir la reincidencia y promover trayectorias de vida alejadas del </w:t>
      </w:r>
      <w:r w:rsidRPr="005318CE">
        <w:rPr>
          <w:rFonts w:ascii="Arial" w:eastAsia="Times New Roman" w:hAnsi="Arial" w:cs="Arial"/>
          <w:b/>
          <w:bCs/>
          <w:color w:val="666666"/>
          <w:kern w:val="0"/>
          <w:lang w:eastAsia="es-UY"/>
          <w14:ligatures w14:val="none"/>
        </w:rPr>
        <w:t>delito</w:t>
      </w:r>
      <w:r w:rsidRPr="005318CE">
        <w:rPr>
          <w:rFonts w:ascii="Arial" w:eastAsia="Times New Roman" w:hAnsi="Arial" w:cs="Arial"/>
          <w:color w:val="666666"/>
          <w:kern w:val="0"/>
          <w:lang w:eastAsia="es-UY"/>
          <w14:ligatures w14:val="none"/>
        </w:rPr>
        <w:t> .</w:t>
      </w:r>
    </w:p>
    <w:p w14:paraId="18EED672"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Esto no significa que la sociedad deba abandonar la intervención con adolescentes que cometen actos graves. Esta intervención ya está contemplada en el </w:t>
      </w:r>
      <w:r w:rsidRPr="005318CE">
        <w:rPr>
          <w:rFonts w:ascii="Arial" w:eastAsia="Times New Roman" w:hAnsi="Arial" w:cs="Arial"/>
          <w:b/>
          <w:bCs/>
          <w:color w:val="666666"/>
          <w:kern w:val="0"/>
          <w:lang w:eastAsia="es-UY"/>
          <w14:ligatures w14:val="none"/>
        </w:rPr>
        <w:t>Estatuto de la Infancia y del Adolescente</w:t>
      </w:r>
      <w:r w:rsidRPr="005318CE">
        <w:rPr>
          <w:rFonts w:ascii="Arial" w:eastAsia="Times New Roman" w:hAnsi="Arial" w:cs="Arial"/>
          <w:color w:val="666666"/>
          <w:kern w:val="0"/>
          <w:lang w:eastAsia="es-UY"/>
          <w14:ligatures w14:val="none"/>
        </w:rPr>
        <w:t> ( </w:t>
      </w:r>
      <w:r w:rsidRPr="005318CE">
        <w:rPr>
          <w:rFonts w:ascii="Arial" w:eastAsia="Times New Roman" w:hAnsi="Arial" w:cs="Arial"/>
          <w:b/>
          <w:bCs/>
          <w:color w:val="666666"/>
          <w:kern w:val="0"/>
          <w:lang w:eastAsia="es-UY"/>
          <w14:ligatures w14:val="none"/>
        </w:rPr>
        <w:t>ECA</w:t>
      </w:r>
      <w:r w:rsidRPr="005318CE">
        <w:rPr>
          <w:rFonts w:ascii="Arial" w:eastAsia="Times New Roman" w:hAnsi="Arial" w:cs="Arial"/>
          <w:color w:val="666666"/>
          <w:kern w:val="0"/>
          <w:lang w:eastAsia="es-UY"/>
          <w14:ligatures w14:val="none"/>
        </w:rPr>
        <w:t> ). La cuestión fundamental es que </w:t>
      </w:r>
      <w:hyperlink r:id="rId35" w:tgtFrame="_blank" w:history="1">
        <w:r w:rsidRPr="005318CE">
          <w:rPr>
            <w:rFonts w:ascii="Arial" w:eastAsia="Times New Roman" w:hAnsi="Arial" w:cs="Arial"/>
            <w:color w:val="FC6B01"/>
            <w:kern w:val="0"/>
            <w:u w:val="single"/>
            <w:lang w:eastAsia="es-UY"/>
            <w14:ligatures w14:val="none"/>
          </w:rPr>
          <w:t>la seguridad pública</w:t>
        </w:r>
      </w:hyperlink>
      <w:r w:rsidRPr="005318CE">
        <w:rPr>
          <w:rFonts w:ascii="Arial" w:eastAsia="Times New Roman" w:hAnsi="Arial" w:cs="Arial"/>
          <w:color w:val="666666"/>
          <w:kern w:val="0"/>
          <w:lang w:eastAsia="es-UY"/>
          <w14:ligatures w14:val="none"/>
        </w:rPr>
        <w:t> difícilmente se logrará únicamente mediante el aumento de las penas. Cuanto más se centre el debate exclusivamente en la respuesta penal, mayor será el riesgo de que otras políticas, igualmente importantes para la prevención de la violencia y la rehabilitación de los jóvenes, queden relegadas a un segundo plano.</w:t>
      </w:r>
    </w:p>
    <w:p w14:paraId="6B66AB43"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1DA58385" w14:textId="77777777" w:rsidR="005318CE" w:rsidRP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¿Qué alternativas podrían impedir que los jóvenes menores de 18 años entren y se vean involucrados en el mundo del crimen?</w:t>
      </w:r>
    </w:p>
    <w:p w14:paraId="104268FE"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71B35051"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No existe una medida única capaz de impedir </w:t>
      </w:r>
      <w:hyperlink r:id="rId36" w:tgtFrame="_blank" w:history="1">
        <w:r w:rsidRPr="005318CE">
          <w:rPr>
            <w:rFonts w:ascii="Arial" w:eastAsia="Times New Roman" w:hAnsi="Arial" w:cs="Arial"/>
            <w:color w:val="FC6B01"/>
            <w:kern w:val="0"/>
            <w:u w:val="single"/>
            <w:lang w:eastAsia="es-UY"/>
            <w14:ligatures w14:val="none"/>
          </w:rPr>
          <w:t>que los adolescentes se involucren en la delincuencia</w:t>
        </w:r>
      </w:hyperlink>
      <w:r w:rsidRPr="005318CE">
        <w:rPr>
          <w:rFonts w:ascii="Arial" w:eastAsia="Times New Roman" w:hAnsi="Arial" w:cs="Arial"/>
          <w:color w:val="666666"/>
          <w:kern w:val="0"/>
          <w:lang w:eastAsia="es-UY"/>
          <w14:ligatures w14:val="none"/>
        </w:rPr>
        <w:t> . La literatura especializada y la experiencia internacional indican que los mejores resultados suelen derivarse de una combinación de diferentes políticas públicas orientadas a la prevención, la protección social y la debida rendición de cuentas de los jóvenes que ya han entrado en conflicto con la ley.</w:t>
      </w:r>
    </w:p>
    <w:p w14:paraId="67C2FE91"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071D2CD0"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Entre las medidas más citadas se encuentran la ampliación del acceso a una educación de calidad, la reducción </w:t>
      </w:r>
      <w:r w:rsidRPr="005318CE">
        <w:rPr>
          <w:rFonts w:ascii="Arial" w:eastAsia="Times New Roman" w:hAnsi="Arial" w:cs="Arial"/>
          <w:b/>
          <w:bCs/>
          <w:color w:val="666666"/>
          <w:kern w:val="0"/>
          <w:lang w:eastAsia="es-UY"/>
          <w14:ligatures w14:val="none"/>
        </w:rPr>
        <w:t>de las tasas de abandono escolar</w:t>
      </w:r>
      <w:r w:rsidRPr="005318CE">
        <w:rPr>
          <w:rFonts w:ascii="Arial" w:eastAsia="Times New Roman" w:hAnsi="Arial" w:cs="Arial"/>
          <w:color w:val="666666"/>
          <w:kern w:val="0"/>
          <w:lang w:eastAsia="es-UY"/>
          <w14:ligatures w14:val="none"/>
        </w:rPr>
        <w:t> , la oferta de actividades deportivas, culturales y de ocio fuera del horario escolar, programas de cualificación profesional e inserción laboral, así como el fortalecimiento de los servicios de asistencia social y el apoyo a las familias en situación de vulnerabilidad. Estas iniciativas pueden reducir los factores de riesgo asociados al reclutamiento de adolescentes por parte de grupos delictivos y ampliar sus perspectivas de </w:t>
      </w:r>
      <w:r w:rsidRPr="005318CE">
        <w:rPr>
          <w:rFonts w:ascii="Arial" w:eastAsia="Times New Roman" w:hAnsi="Arial" w:cs="Arial"/>
          <w:b/>
          <w:bCs/>
          <w:color w:val="666666"/>
          <w:kern w:val="0"/>
          <w:lang w:eastAsia="es-UY"/>
          <w14:ligatures w14:val="none"/>
        </w:rPr>
        <w:t>inclusión social</w:t>
      </w:r>
      <w:r w:rsidRPr="005318CE">
        <w:rPr>
          <w:rFonts w:ascii="Arial" w:eastAsia="Times New Roman" w:hAnsi="Arial" w:cs="Arial"/>
          <w:color w:val="666666"/>
          <w:kern w:val="0"/>
          <w:lang w:eastAsia="es-UY"/>
          <w14:ligatures w14:val="none"/>
        </w:rPr>
        <w:t> .</w:t>
      </w:r>
    </w:p>
    <w:p w14:paraId="0CA03994"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054CE4EF"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Las políticas de prevención situacionales y comunitarias también son importantes, especialmente en áreas con </w:t>
      </w:r>
      <w:hyperlink r:id="rId37" w:tgtFrame="_blank" w:history="1">
        <w:r w:rsidRPr="005318CE">
          <w:rPr>
            <w:rFonts w:ascii="Arial" w:eastAsia="Times New Roman" w:hAnsi="Arial" w:cs="Arial"/>
            <w:color w:val="FC6B01"/>
            <w:kern w:val="0"/>
            <w:u w:val="single"/>
            <w:lang w:eastAsia="es-UY"/>
            <w14:ligatures w14:val="none"/>
          </w:rPr>
          <w:t>altos índices de violencia</w:t>
        </w:r>
      </w:hyperlink>
      <w:r w:rsidRPr="005318CE">
        <w:rPr>
          <w:rFonts w:ascii="Arial" w:eastAsia="Times New Roman" w:hAnsi="Arial" w:cs="Arial"/>
          <w:color w:val="666666"/>
          <w:kern w:val="0"/>
          <w:lang w:eastAsia="es-UY"/>
          <w14:ligatures w14:val="none"/>
        </w:rPr>
        <w:t> . La presencia del </w:t>
      </w:r>
      <w:r w:rsidRPr="005318CE">
        <w:rPr>
          <w:rFonts w:ascii="Arial" w:eastAsia="Times New Roman" w:hAnsi="Arial" w:cs="Arial"/>
          <w:b/>
          <w:bCs/>
          <w:color w:val="666666"/>
          <w:kern w:val="0"/>
          <w:lang w:eastAsia="es-UY"/>
          <w14:ligatures w14:val="none"/>
        </w:rPr>
        <w:t>Estado</w:t>
      </w:r>
      <w:r w:rsidRPr="005318CE">
        <w:rPr>
          <w:rFonts w:ascii="Arial" w:eastAsia="Times New Roman" w:hAnsi="Arial" w:cs="Arial"/>
          <w:color w:val="666666"/>
          <w:kern w:val="0"/>
          <w:lang w:eastAsia="es-UY"/>
          <w14:ligatures w14:val="none"/>
        </w:rPr>
        <w:t xml:space="preserve"> a través de escuelas, centros de salud, instituciones culturales, programas sociales y acciones de vigilancia comunitaria tiende a producir resultados más consistentes que las intervenciones exclusivamente represivas. En muchos casos, la participación de los adolescentes en actividades delictivas no solo se relaciona con decisiones individuales, sino también con </w:t>
      </w:r>
      <w:r w:rsidRPr="005318CE">
        <w:rPr>
          <w:rFonts w:ascii="Arial" w:eastAsia="Times New Roman" w:hAnsi="Arial" w:cs="Arial"/>
          <w:color w:val="666666"/>
          <w:kern w:val="0"/>
          <w:lang w:eastAsia="es-UY"/>
          <w14:ligatures w14:val="none"/>
        </w:rPr>
        <w:lastRenderedPageBreak/>
        <w:t>contextos de exclusión social, falta de oportunidades y débiles lazos comunitarios.</w:t>
      </w:r>
    </w:p>
    <w:p w14:paraId="1187131D"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71F74F3B"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5318CE">
        <w:rPr>
          <w:rFonts w:ascii="Arial" w:eastAsia="Times New Roman" w:hAnsi="Arial" w:cs="Arial"/>
          <w:b/>
          <w:bCs/>
          <w:i/>
          <w:iCs/>
          <w:color w:val="BF4E14" w:themeColor="accent2" w:themeShade="BF"/>
          <w:kern w:val="0"/>
          <w:sz w:val="27"/>
          <w:szCs w:val="27"/>
          <w:lang w:eastAsia="es-UY"/>
          <w14:ligatures w14:val="none"/>
        </w:rPr>
        <w:t xml:space="preserve">La participación de los adolescentes en la delincuencia no solo se relaciona con decisiones individuales, sino también con contextos de exclusión social, falta de oportunidades y débiles lazos comunitarios – Alexander </w:t>
      </w:r>
      <w:proofErr w:type="spellStart"/>
      <w:r w:rsidRPr="005318CE">
        <w:rPr>
          <w:rFonts w:ascii="Arial" w:eastAsia="Times New Roman" w:hAnsi="Arial" w:cs="Arial"/>
          <w:b/>
          <w:bCs/>
          <w:i/>
          <w:iCs/>
          <w:color w:val="BF4E14" w:themeColor="accent2" w:themeShade="BF"/>
          <w:kern w:val="0"/>
          <w:sz w:val="27"/>
          <w:szCs w:val="27"/>
          <w:lang w:eastAsia="es-UY"/>
          <w14:ligatures w14:val="none"/>
        </w:rPr>
        <w:t>Rodrigues</w:t>
      </w:r>
      <w:proofErr w:type="spellEnd"/>
      <w:r w:rsidRPr="005318CE">
        <w:rPr>
          <w:rFonts w:ascii="Arial" w:eastAsia="Times New Roman" w:hAnsi="Arial" w:cs="Arial"/>
          <w:b/>
          <w:bCs/>
          <w:i/>
          <w:iCs/>
          <w:color w:val="BF4E14" w:themeColor="accent2" w:themeShade="BF"/>
          <w:kern w:val="0"/>
          <w:sz w:val="27"/>
          <w:szCs w:val="27"/>
          <w:lang w:eastAsia="es-UY"/>
          <w14:ligatures w14:val="none"/>
        </w:rPr>
        <w:t xml:space="preserve"> de Castro</w:t>
      </w:r>
    </w:p>
    <w:p w14:paraId="37A7834B" w14:textId="05F50B5E" w:rsidR="005318CE" w:rsidRPr="005318CE" w:rsidRDefault="005318CE" w:rsidP="005318CE">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3064ADA3"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Por otro lado, cuando un adolescente ya ha cometido un delito, es fundamental que el </w:t>
      </w:r>
      <w:hyperlink r:id="rId38" w:tgtFrame="_blank" w:history="1">
        <w:r w:rsidRPr="005318CE">
          <w:rPr>
            <w:rFonts w:ascii="Arial" w:eastAsia="Times New Roman" w:hAnsi="Arial" w:cs="Arial"/>
            <w:color w:val="FC6B01"/>
            <w:kern w:val="0"/>
            <w:u w:val="single"/>
            <w:lang w:eastAsia="es-UY"/>
            <w14:ligatures w14:val="none"/>
          </w:rPr>
          <w:t>sistema socioeducativo</w:t>
        </w:r>
      </w:hyperlink>
      <w:r w:rsidRPr="005318CE">
        <w:rPr>
          <w:rFonts w:ascii="Arial" w:eastAsia="Times New Roman" w:hAnsi="Arial" w:cs="Arial"/>
          <w:color w:val="666666"/>
          <w:kern w:val="0"/>
          <w:lang w:eastAsia="es-UY"/>
          <w14:ligatures w14:val="none"/>
        </w:rPr>
        <w:t> funcione correctamente. La responsabilidad prevista en el </w:t>
      </w:r>
      <w:r w:rsidRPr="005318CE">
        <w:rPr>
          <w:rFonts w:ascii="Arial" w:eastAsia="Times New Roman" w:hAnsi="Arial" w:cs="Arial"/>
          <w:b/>
          <w:bCs/>
          <w:color w:val="666666"/>
          <w:kern w:val="0"/>
          <w:lang w:eastAsia="es-UY"/>
          <w14:ligatures w14:val="none"/>
        </w:rPr>
        <w:t>Estatuto del Niño y del Adolescente</w:t>
      </w:r>
      <w:r w:rsidRPr="005318CE">
        <w:rPr>
          <w:rFonts w:ascii="Arial" w:eastAsia="Times New Roman" w:hAnsi="Arial" w:cs="Arial"/>
          <w:color w:val="666666"/>
          <w:kern w:val="0"/>
          <w:lang w:eastAsia="es-UY"/>
          <w14:ligatures w14:val="none"/>
        </w:rPr>
        <w:t> no debe confundirse con impunidad. </w:t>
      </w:r>
      <w:r w:rsidRPr="005318CE">
        <w:rPr>
          <w:rFonts w:ascii="Arial" w:eastAsia="Times New Roman" w:hAnsi="Arial" w:cs="Arial"/>
          <w:b/>
          <w:bCs/>
          <w:color w:val="666666"/>
          <w:kern w:val="0"/>
          <w:lang w:eastAsia="es-UY"/>
          <w14:ligatures w14:val="none"/>
        </w:rPr>
        <w:t>Medidas socioeducativas</w:t>
      </w:r>
      <w:r w:rsidRPr="005318CE">
        <w:rPr>
          <w:rFonts w:ascii="Arial" w:eastAsia="Times New Roman" w:hAnsi="Arial" w:cs="Arial"/>
          <w:color w:val="666666"/>
          <w:kern w:val="0"/>
          <w:lang w:eastAsia="es-UY"/>
          <w14:ligatures w14:val="none"/>
        </w:rPr>
        <w:t> bien estructuradas , acompañadas de apoyo educativo, psicológico y profesional, pueden contribuir a reducir la reincidencia y promover la reinserción social.</w:t>
      </w:r>
    </w:p>
    <w:p w14:paraId="3831FFB2"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21661471"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En resumen, la prevención de la delincuencia juvenil depende de un enfoque integral. </w:t>
      </w:r>
      <w:hyperlink r:id="rId39" w:tgtFrame="_blank" w:history="1">
        <w:r w:rsidRPr="005318CE">
          <w:rPr>
            <w:rFonts w:ascii="Arial" w:eastAsia="Times New Roman" w:hAnsi="Arial" w:cs="Arial"/>
            <w:color w:val="FC6B01"/>
            <w:kern w:val="0"/>
            <w:u w:val="single"/>
            <w:lang w:eastAsia="es-UY"/>
            <w14:ligatures w14:val="none"/>
          </w:rPr>
          <w:t>La seguridad pública</w:t>
        </w:r>
      </w:hyperlink>
      <w:r w:rsidRPr="005318CE">
        <w:rPr>
          <w:rFonts w:ascii="Arial" w:eastAsia="Times New Roman" w:hAnsi="Arial" w:cs="Arial"/>
          <w:color w:val="666666"/>
          <w:kern w:val="0"/>
          <w:lang w:eastAsia="es-UY"/>
          <w14:ligatures w14:val="none"/>
        </w:rPr>
        <w:t> desempeña un papel importante, pero difícilmente puede abordar el problema por sí sola. La experiencia demuestra que las políticas más eficaces suelen ser aquellas que combinan educación, asistencia social, oportunidades económicas, fortalecimiento comunitario y una adecuada rendición de cuentas para los adolescentes que cometen delitos.</w:t>
      </w:r>
    </w:p>
    <w:p w14:paraId="336EA8E0"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642AFECD" w14:textId="77777777" w:rsidR="005318CE" w:rsidRDefault="005318CE" w:rsidP="005318CE">
      <w:pPr>
        <w:spacing w:after="0" w:line="240" w:lineRule="auto"/>
        <w:jc w:val="both"/>
        <w:rPr>
          <w:rFonts w:ascii="Arial" w:eastAsia="Times New Roman" w:hAnsi="Arial" w:cs="Arial"/>
          <w:b/>
          <w:bCs/>
          <w:color w:val="BF4E14" w:themeColor="accent2" w:themeShade="BF"/>
          <w:kern w:val="0"/>
          <w:lang w:eastAsia="es-UY"/>
          <w14:ligatures w14:val="none"/>
        </w:rPr>
      </w:pPr>
      <w:r w:rsidRPr="005318CE">
        <w:rPr>
          <w:rFonts w:ascii="Arial" w:eastAsia="Times New Roman" w:hAnsi="Arial" w:cs="Arial"/>
          <w:b/>
          <w:bCs/>
          <w:color w:val="BF4E14" w:themeColor="accent2" w:themeShade="BF"/>
          <w:kern w:val="0"/>
          <w:lang w:eastAsia="es-UY"/>
          <w14:ligatures w14:val="none"/>
        </w:rPr>
        <w:t>IHU – ¿Desea agregar algo?</w:t>
      </w:r>
    </w:p>
    <w:p w14:paraId="616DDEA6" w14:textId="77777777" w:rsidR="005318CE" w:rsidRPr="005318CE" w:rsidRDefault="005318CE" w:rsidP="005318CE">
      <w:pPr>
        <w:spacing w:after="0" w:line="240" w:lineRule="auto"/>
        <w:jc w:val="both"/>
        <w:rPr>
          <w:rFonts w:ascii="Arial" w:eastAsia="Times New Roman" w:hAnsi="Arial" w:cs="Arial"/>
          <w:color w:val="BF4E14" w:themeColor="accent2" w:themeShade="BF"/>
          <w:kern w:val="0"/>
          <w:lang w:eastAsia="es-UY"/>
          <w14:ligatures w14:val="none"/>
        </w:rPr>
      </w:pPr>
    </w:p>
    <w:p w14:paraId="607DF0D0"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b/>
          <w:bCs/>
          <w:color w:val="666666"/>
          <w:kern w:val="0"/>
          <w:lang w:eastAsia="es-UY"/>
          <w14:ligatures w14:val="none"/>
        </w:rPr>
        <w:t xml:space="preserve">Alexander </w:t>
      </w:r>
      <w:proofErr w:type="spellStart"/>
      <w:r w:rsidRPr="005318CE">
        <w:rPr>
          <w:rFonts w:ascii="Arial" w:eastAsia="Times New Roman" w:hAnsi="Arial" w:cs="Arial"/>
          <w:b/>
          <w:bCs/>
          <w:color w:val="666666"/>
          <w:kern w:val="0"/>
          <w:lang w:eastAsia="es-UY"/>
          <w14:ligatures w14:val="none"/>
        </w:rPr>
        <w:t>Rodrigues</w:t>
      </w:r>
      <w:proofErr w:type="spellEnd"/>
      <w:r w:rsidRPr="005318CE">
        <w:rPr>
          <w:rFonts w:ascii="Arial" w:eastAsia="Times New Roman" w:hAnsi="Arial" w:cs="Arial"/>
          <w:b/>
          <w:bCs/>
          <w:color w:val="666666"/>
          <w:kern w:val="0"/>
          <w:lang w:eastAsia="es-UY"/>
          <w14:ligatures w14:val="none"/>
        </w:rPr>
        <w:t xml:space="preserve"> de Castro –</w:t>
      </w:r>
      <w:r w:rsidRPr="005318CE">
        <w:rPr>
          <w:rFonts w:ascii="Arial" w:eastAsia="Times New Roman" w:hAnsi="Arial" w:cs="Arial"/>
          <w:color w:val="666666"/>
          <w:kern w:val="0"/>
          <w:lang w:eastAsia="es-UY"/>
          <w14:ligatures w14:val="none"/>
        </w:rPr>
        <w:t> Uno de los principales puntos de preocupación en el debate sobre </w:t>
      </w:r>
      <w:hyperlink r:id="rId40" w:tgtFrame="_blank" w:history="1">
        <w:r w:rsidRPr="005318CE">
          <w:rPr>
            <w:rFonts w:ascii="Arial" w:eastAsia="Times New Roman" w:hAnsi="Arial" w:cs="Arial"/>
            <w:color w:val="FC6B01"/>
            <w:kern w:val="0"/>
            <w:u w:val="single"/>
            <w:lang w:eastAsia="es-UY"/>
            <w14:ligatures w14:val="none"/>
          </w:rPr>
          <w:t>la reducción de la edad de responsabilidad penal</w:t>
        </w:r>
      </w:hyperlink>
      <w:r w:rsidRPr="005318CE">
        <w:rPr>
          <w:rFonts w:ascii="Arial" w:eastAsia="Times New Roman" w:hAnsi="Arial" w:cs="Arial"/>
          <w:color w:val="666666"/>
          <w:kern w:val="0"/>
          <w:lang w:eastAsia="es-UY"/>
          <w14:ligatures w14:val="none"/>
        </w:rPr>
        <w:t> se relaciona con los efectos concretos que esta medida podría producir en los adolescentes sometidos al </w:t>
      </w:r>
      <w:r w:rsidRPr="005318CE">
        <w:rPr>
          <w:rFonts w:ascii="Arial" w:eastAsia="Times New Roman" w:hAnsi="Arial" w:cs="Arial"/>
          <w:b/>
          <w:bCs/>
          <w:color w:val="666666"/>
          <w:kern w:val="0"/>
          <w:lang w:eastAsia="es-UY"/>
          <w14:ligatures w14:val="none"/>
        </w:rPr>
        <w:t>sistema de justicia penal</w:t>
      </w:r>
      <w:r w:rsidRPr="005318CE">
        <w:rPr>
          <w:rFonts w:ascii="Arial" w:eastAsia="Times New Roman" w:hAnsi="Arial" w:cs="Arial"/>
          <w:color w:val="666666"/>
          <w:kern w:val="0"/>
          <w:lang w:eastAsia="es-UY"/>
          <w14:ligatures w14:val="none"/>
        </w:rPr>
        <w:t> . En la práctica, la reducción de la edad de responsabilidad penal crea el riesgo de que los jóvenes de 16 y 17 años se integren, total o parcialmente, en la lógica del sistema penitenciario destinado a adultos. Considerando los problemas que históricamente ha enfrentado el sistema penitenciario brasileño, como el hacinamiento, la actividad de organizaciones criminales, las deficiencias estructurales y las limitaciones en la provisión de programas de rehabilitación, existe el temor de que el contacto temprano con este entorno pueda comprometer aún más sus posibilidades de reintegración social.</w:t>
      </w:r>
    </w:p>
    <w:p w14:paraId="4A1CDDE5"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5A8C3C72"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Esto no implica ignorar las preocupaciones legítimas relacionadas con la comisión de delitos graves. Es perfectamente razonable debatir si el </w:t>
      </w:r>
      <w:hyperlink r:id="rId41" w:tgtFrame="_blank" w:history="1">
        <w:r w:rsidRPr="005318CE">
          <w:rPr>
            <w:rFonts w:ascii="Arial" w:eastAsia="Times New Roman" w:hAnsi="Arial" w:cs="Arial"/>
            <w:color w:val="FC6B01"/>
            <w:kern w:val="0"/>
            <w:u w:val="single"/>
            <w:lang w:eastAsia="es-UY"/>
            <w14:ligatures w14:val="none"/>
          </w:rPr>
          <w:t>modelo socioeducativo</w:t>
        </w:r>
      </w:hyperlink>
      <w:r w:rsidRPr="005318CE">
        <w:rPr>
          <w:rFonts w:ascii="Arial" w:eastAsia="Times New Roman" w:hAnsi="Arial" w:cs="Arial"/>
          <w:color w:val="666666"/>
          <w:kern w:val="0"/>
          <w:lang w:eastAsia="es-UY"/>
          <w14:ligatures w14:val="none"/>
        </w:rPr>
        <w:t> vigente, contemplado en el </w:t>
      </w:r>
      <w:hyperlink r:id="rId42" w:tgtFrame="_blank" w:history="1">
        <w:r w:rsidRPr="005318CE">
          <w:rPr>
            <w:rFonts w:ascii="Arial" w:eastAsia="Times New Roman" w:hAnsi="Arial" w:cs="Arial"/>
            <w:color w:val="FC6B01"/>
            <w:kern w:val="0"/>
            <w:u w:val="single"/>
            <w:lang w:eastAsia="es-UY"/>
            <w14:ligatures w14:val="none"/>
          </w:rPr>
          <w:t>Estatuto de Niños y Adolescentes,</w:t>
        </w:r>
      </w:hyperlink>
      <w:r w:rsidRPr="005318CE">
        <w:rPr>
          <w:rFonts w:ascii="Arial" w:eastAsia="Times New Roman" w:hAnsi="Arial" w:cs="Arial"/>
          <w:color w:val="666666"/>
          <w:kern w:val="0"/>
          <w:lang w:eastAsia="es-UY"/>
          <w14:ligatures w14:val="none"/>
        </w:rPr>
        <w:t> es suficiente para responder adecuadamente a casos de homicidio, robo con resultado de muerte, violación o participación en organizaciones criminales. Este es un debate legítimo y necesario, sobre todo porque la sociedad tiene derecho a exigir respuestas eficaces ante conductas sumamente graves.</w:t>
      </w:r>
    </w:p>
    <w:p w14:paraId="5E6AE851"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50F7B5EF" w14:textId="77777777" w:rsid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Sin embargo, incluso si se concluye que ciertos instrumentos actualmente existentes son insuficientes, esto no implica necesariamente que los adolescentes deban ser incorporados al </w:t>
      </w:r>
      <w:r w:rsidRPr="005318CE">
        <w:rPr>
          <w:rFonts w:ascii="Arial" w:eastAsia="Times New Roman" w:hAnsi="Arial" w:cs="Arial"/>
          <w:b/>
          <w:bCs/>
          <w:color w:val="666666"/>
          <w:kern w:val="0"/>
          <w:lang w:eastAsia="es-UY"/>
          <w14:ligatures w14:val="none"/>
        </w:rPr>
        <w:t>sistema penal de adultos</w:t>
      </w:r>
      <w:r w:rsidRPr="005318CE">
        <w:rPr>
          <w:rFonts w:ascii="Arial" w:eastAsia="Times New Roman" w:hAnsi="Arial" w:cs="Arial"/>
          <w:color w:val="666666"/>
          <w:kern w:val="0"/>
          <w:lang w:eastAsia="es-UY"/>
          <w14:ligatures w14:val="none"/>
        </w:rPr>
        <w:t> . Una posible alternativa sería mejorar el propio </w:t>
      </w:r>
      <w:r w:rsidRPr="005318CE">
        <w:rPr>
          <w:rFonts w:ascii="Arial" w:eastAsia="Times New Roman" w:hAnsi="Arial" w:cs="Arial"/>
          <w:b/>
          <w:bCs/>
          <w:color w:val="666666"/>
          <w:kern w:val="0"/>
          <w:lang w:eastAsia="es-UY"/>
          <w14:ligatures w14:val="none"/>
        </w:rPr>
        <w:t>sistema socioeducativo</w:t>
      </w:r>
      <w:r w:rsidRPr="005318CE">
        <w:rPr>
          <w:rFonts w:ascii="Arial" w:eastAsia="Times New Roman" w:hAnsi="Arial" w:cs="Arial"/>
          <w:color w:val="666666"/>
          <w:kern w:val="0"/>
          <w:lang w:eastAsia="es-UY"/>
          <w14:ligatures w14:val="none"/>
        </w:rPr>
        <w:t xml:space="preserve"> , creando mecanismos específicos para abordar los casos más graves. Por ejemplo, se </w:t>
      </w:r>
      <w:r w:rsidRPr="005318CE">
        <w:rPr>
          <w:rFonts w:ascii="Arial" w:eastAsia="Times New Roman" w:hAnsi="Arial" w:cs="Arial"/>
          <w:color w:val="666666"/>
          <w:kern w:val="0"/>
          <w:lang w:eastAsia="es-UY"/>
          <w14:ligatures w14:val="none"/>
        </w:rPr>
        <w:lastRenderedPageBreak/>
        <w:t>podrían considerar regímenes de detención diferenciados, nuevos tipos de </w:t>
      </w:r>
      <w:hyperlink r:id="rId43" w:tgtFrame="_blank" w:history="1">
        <w:r w:rsidRPr="005318CE">
          <w:rPr>
            <w:rFonts w:ascii="Arial" w:eastAsia="Times New Roman" w:hAnsi="Arial" w:cs="Arial"/>
            <w:color w:val="FC6B01"/>
            <w:kern w:val="0"/>
            <w:u w:val="single"/>
            <w:lang w:eastAsia="es-UY"/>
            <w14:ligatures w14:val="none"/>
          </w:rPr>
          <w:t>medidas socioeducativas</w:t>
        </w:r>
      </w:hyperlink>
      <w:r w:rsidRPr="005318CE">
        <w:rPr>
          <w:rFonts w:ascii="Arial" w:eastAsia="Times New Roman" w:hAnsi="Arial" w:cs="Arial"/>
          <w:color w:val="666666"/>
          <w:kern w:val="0"/>
          <w:lang w:eastAsia="es-UY"/>
          <w14:ligatures w14:val="none"/>
        </w:rPr>
        <w:t> , períodos más prolongados de vigilancia institucional o criterios más rigurosos para la progresión de las medidas aplicadas .</w:t>
      </w:r>
    </w:p>
    <w:p w14:paraId="54636029"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p>
    <w:p w14:paraId="4A0B6778" w14:textId="77777777" w:rsidR="005318CE" w:rsidRPr="005318CE" w:rsidRDefault="005318CE" w:rsidP="005318CE">
      <w:pPr>
        <w:spacing w:after="0" w:line="240" w:lineRule="auto"/>
        <w:jc w:val="center"/>
        <w:rPr>
          <w:rFonts w:ascii="Arial" w:eastAsia="Times New Roman" w:hAnsi="Arial" w:cs="Arial"/>
          <w:b/>
          <w:bCs/>
          <w:i/>
          <w:iCs/>
          <w:color w:val="BF4E14" w:themeColor="accent2" w:themeShade="BF"/>
          <w:kern w:val="0"/>
          <w:lang w:eastAsia="es-UY"/>
          <w14:ligatures w14:val="none"/>
        </w:rPr>
      </w:pPr>
      <w:r w:rsidRPr="005318CE">
        <w:rPr>
          <w:rFonts w:ascii="Arial" w:eastAsia="Times New Roman" w:hAnsi="Arial" w:cs="Arial"/>
          <w:b/>
          <w:bCs/>
          <w:i/>
          <w:iCs/>
          <w:color w:val="BF4E14" w:themeColor="accent2" w:themeShade="BF"/>
          <w:kern w:val="0"/>
          <w:lang w:eastAsia="es-UY"/>
          <w14:ligatures w14:val="none"/>
        </w:rPr>
        <w:t xml:space="preserve">El verdadero desafío reside en construir mecanismos capaces de combinar la rendición de cuentas proporcional a la gravedad de la conducta con políticas eficaces de rehabilitación y reinserción social – Alexander </w:t>
      </w:r>
      <w:proofErr w:type="spellStart"/>
      <w:r w:rsidRPr="005318CE">
        <w:rPr>
          <w:rFonts w:ascii="Arial" w:eastAsia="Times New Roman" w:hAnsi="Arial" w:cs="Arial"/>
          <w:b/>
          <w:bCs/>
          <w:i/>
          <w:iCs/>
          <w:color w:val="BF4E14" w:themeColor="accent2" w:themeShade="BF"/>
          <w:kern w:val="0"/>
          <w:lang w:eastAsia="es-UY"/>
          <w14:ligatures w14:val="none"/>
        </w:rPr>
        <w:t>Rodrigues</w:t>
      </w:r>
      <w:proofErr w:type="spellEnd"/>
      <w:r w:rsidRPr="005318CE">
        <w:rPr>
          <w:rFonts w:ascii="Arial" w:eastAsia="Times New Roman" w:hAnsi="Arial" w:cs="Arial"/>
          <w:b/>
          <w:bCs/>
          <w:i/>
          <w:iCs/>
          <w:color w:val="BF4E14" w:themeColor="accent2" w:themeShade="BF"/>
          <w:kern w:val="0"/>
          <w:lang w:eastAsia="es-UY"/>
          <w14:ligatures w14:val="none"/>
        </w:rPr>
        <w:t xml:space="preserve"> de Castro</w:t>
      </w:r>
    </w:p>
    <w:p w14:paraId="328D31AC" w14:textId="036CEFF9" w:rsidR="005318CE" w:rsidRPr="005318CE" w:rsidRDefault="005318CE" w:rsidP="005318CE">
      <w:pPr>
        <w:spacing w:after="0" w:line="240" w:lineRule="auto"/>
        <w:jc w:val="both"/>
        <w:rPr>
          <w:rFonts w:ascii="Times New Roman" w:eastAsia="Times New Roman" w:hAnsi="Times New Roman" w:cs="Times New Roman"/>
          <w:b/>
          <w:bCs/>
          <w:i/>
          <w:iCs/>
          <w:color w:val="FC6B01"/>
          <w:kern w:val="0"/>
          <w:lang w:eastAsia="es-UY"/>
          <w14:ligatures w14:val="none"/>
        </w:rPr>
      </w:pPr>
    </w:p>
    <w:p w14:paraId="6DB76D79" w14:textId="77777777" w:rsidR="005318CE" w:rsidRPr="005318CE" w:rsidRDefault="005318CE" w:rsidP="005318CE">
      <w:pPr>
        <w:spacing w:after="0" w:line="240" w:lineRule="auto"/>
        <w:jc w:val="both"/>
        <w:rPr>
          <w:rFonts w:ascii="Arial" w:eastAsia="Times New Roman" w:hAnsi="Arial" w:cs="Arial"/>
          <w:color w:val="666666"/>
          <w:kern w:val="0"/>
          <w:lang w:eastAsia="es-UY"/>
          <w14:ligatures w14:val="none"/>
        </w:rPr>
      </w:pPr>
      <w:r w:rsidRPr="005318CE">
        <w:rPr>
          <w:rFonts w:ascii="Arial" w:eastAsia="Times New Roman" w:hAnsi="Arial" w:cs="Arial"/>
          <w:color w:val="666666"/>
          <w:kern w:val="0"/>
          <w:lang w:eastAsia="es-UY"/>
          <w14:ligatures w14:val="none"/>
        </w:rPr>
        <w:t>En este contexto, cualquier ampliación de la intervención estatal debe ir acompañada de un fortalecimiento de los equipos multidisciplinarios responsables de asistir a estos adolescentes. Psicólogos, educadores, trabajadores sociales, profesionales de la salud y especialistas en formación profesional desempeñan un papel fundamental en la comprensión de las trayectorias individuales y en la elaboración de estrategias eficaces para la reinserción social. Al fin y al cabo, los adolescentes que cometen delitos graves deben rendir cuentas, pero siguen siendo individuos en proceso de desarrollo.</w:t>
      </w:r>
    </w:p>
    <w:p w14:paraId="30EF9A91" w14:textId="77777777" w:rsidR="005318CE" w:rsidRPr="005318CE" w:rsidRDefault="005318CE" w:rsidP="005318CE">
      <w:pPr>
        <w:spacing w:after="0" w:line="240" w:lineRule="auto"/>
        <w:jc w:val="both"/>
        <w:rPr>
          <w:rFonts w:ascii="Arial" w:eastAsia="Times New Roman" w:hAnsi="Arial" w:cs="Arial"/>
          <w:color w:val="666666"/>
          <w:kern w:val="0"/>
          <w:sz w:val="27"/>
          <w:szCs w:val="27"/>
          <w:lang w:eastAsia="es-UY"/>
          <w14:ligatures w14:val="none"/>
        </w:rPr>
      </w:pPr>
      <w:r w:rsidRPr="005318CE">
        <w:rPr>
          <w:rFonts w:ascii="Arial" w:eastAsia="Times New Roman" w:hAnsi="Arial" w:cs="Arial"/>
          <w:color w:val="666666"/>
          <w:kern w:val="0"/>
          <w:lang w:eastAsia="es-UY"/>
          <w14:ligatures w14:val="none"/>
        </w:rPr>
        <w:t>Por ello, muchos expertos sostienen que el debate no debe limitarse a la disyuntiva entre impunidad y </w:t>
      </w:r>
      <w:hyperlink r:id="rId44" w:tgtFrame="_blank" w:history="1">
        <w:r w:rsidRPr="005318CE">
          <w:rPr>
            <w:rFonts w:ascii="Arial" w:eastAsia="Times New Roman" w:hAnsi="Arial" w:cs="Arial"/>
            <w:color w:val="FC6B01"/>
            <w:kern w:val="0"/>
            <w:u w:val="single"/>
            <w:lang w:eastAsia="es-UY"/>
            <w14:ligatures w14:val="none"/>
          </w:rPr>
          <w:t>encarcelamiento de adultos</w:t>
        </w:r>
      </w:hyperlink>
      <w:r w:rsidRPr="005318CE">
        <w:rPr>
          <w:rFonts w:ascii="Arial" w:eastAsia="Times New Roman" w:hAnsi="Arial" w:cs="Arial"/>
          <w:color w:val="666666"/>
          <w:kern w:val="0"/>
          <w:lang w:eastAsia="es-UY"/>
          <w14:ligatures w14:val="none"/>
        </w:rPr>
        <w:t> . El verdadero reto reside en construir mecanismos capaces de combinar la rendición de cuentas proporcional a la gravedad de la conducta con políticas eficaces de </w:t>
      </w:r>
      <w:r w:rsidRPr="005318CE">
        <w:rPr>
          <w:rFonts w:ascii="Arial" w:eastAsia="Times New Roman" w:hAnsi="Arial" w:cs="Arial"/>
          <w:b/>
          <w:bCs/>
          <w:color w:val="666666"/>
          <w:kern w:val="0"/>
          <w:lang w:eastAsia="es-UY"/>
          <w14:ligatures w14:val="none"/>
        </w:rPr>
        <w:t>rehabilitación</w:t>
      </w:r>
      <w:r w:rsidRPr="005318CE">
        <w:rPr>
          <w:rFonts w:ascii="Arial" w:eastAsia="Times New Roman" w:hAnsi="Arial" w:cs="Arial"/>
          <w:color w:val="666666"/>
          <w:kern w:val="0"/>
          <w:lang w:eastAsia="es-UY"/>
          <w14:ligatures w14:val="none"/>
        </w:rPr>
        <w:t> y </w:t>
      </w:r>
      <w:r w:rsidRPr="005318CE">
        <w:rPr>
          <w:rFonts w:ascii="Arial" w:eastAsia="Times New Roman" w:hAnsi="Arial" w:cs="Arial"/>
          <w:b/>
          <w:bCs/>
          <w:color w:val="666666"/>
          <w:kern w:val="0"/>
          <w:lang w:eastAsia="es-UY"/>
          <w14:ligatures w14:val="none"/>
        </w:rPr>
        <w:t>reinserción social</w:t>
      </w:r>
      <w:r w:rsidRPr="005318CE">
        <w:rPr>
          <w:rFonts w:ascii="Arial" w:eastAsia="Times New Roman" w:hAnsi="Arial" w:cs="Arial"/>
          <w:color w:val="666666"/>
          <w:kern w:val="0"/>
          <w:lang w:eastAsia="es-UY"/>
          <w14:ligatures w14:val="none"/>
        </w:rPr>
        <w:t> . Desde esta perspectiva, reformar y mejorar el sistema socioeducativo puede representar una alternativa más compatible con las particularidades de la adolescencia que simplemente trasladar a los menores de 18 años al mismo entorno institucional destinado a los adultos</w:t>
      </w:r>
      <w:r w:rsidRPr="005318CE">
        <w:rPr>
          <w:rFonts w:ascii="Arial" w:eastAsia="Times New Roman" w:hAnsi="Arial" w:cs="Arial"/>
          <w:color w:val="666666"/>
          <w:kern w:val="0"/>
          <w:sz w:val="27"/>
          <w:szCs w:val="27"/>
          <w:lang w:eastAsia="es-UY"/>
          <w14:ligatures w14:val="none"/>
        </w:rPr>
        <w:t>.</w:t>
      </w:r>
    </w:p>
    <w:p w14:paraId="5C30C327" w14:textId="77777777" w:rsidR="005318CE" w:rsidRDefault="005318CE"/>
    <w:p w14:paraId="3EC045BF" w14:textId="7E1A74E2" w:rsidR="004437C4" w:rsidRDefault="004437C4">
      <w:hyperlink r:id="rId45" w:history="1">
        <w:r w:rsidRPr="00C646E6">
          <w:rPr>
            <w:rStyle w:val="Hipervnculo"/>
          </w:rPr>
          <w:t>https://www.ihu.unisinos.br/667785-reducao-da-maioridade-penal-a-seguranca-publica-dificilmente-sera-alcancada-apenas-por-meio-do-aumento-da-punicao-entrevista-especial-com-alexander-rodrigues-de-castro</w:t>
        </w:r>
      </w:hyperlink>
    </w:p>
    <w:p w14:paraId="2B428FB6" w14:textId="77777777" w:rsidR="004437C4" w:rsidRDefault="004437C4"/>
    <w:sectPr w:rsidR="004437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CE"/>
    <w:rsid w:val="004437C4"/>
    <w:rsid w:val="005318CE"/>
    <w:rsid w:val="00D2771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12A2"/>
  <w15:chartTrackingRefBased/>
  <w15:docId w15:val="{FA043F07-A5F1-454C-A186-B2F5ABE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1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1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18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18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18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18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18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18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18C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18C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18C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18C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18C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18C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18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18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18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18CE"/>
    <w:rPr>
      <w:rFonts w:eastAsiaTheme="majorEastAsia" w:cstheme="majorBidi"/>
      <w:color w:val="272727" w:themeColor="text1" w:themeTint="D8"/>
    </w:rPr>
  </w:style>
  <w:style w:type="paragraph" w:styleId="Ttulo">
    <w:name w:val="Title"/>
    <w:basedOn w:val="Normal"/>
    <w:next w:val="Normal"/>
    <w:link w:val="TtuloCar"/>
    <w:uiPriority w:val="10"/>
    <w:qFormat/>
    <w:rsid w:val="00531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18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18C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18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18CE"/>
    <w:pPr>
      <w:spacing w:before="160"/>
      <w:jc w:val="center"/>
    </w:pPr>
    <w:rPr>
      <w:i/>
      <w:iCs/>
      <w:color w:val="404040" w:themeColor="text1" w:themeTint="BF"/>
    </w:rPr>
  </w:style>
  <w:style w:type="character" w:customStyle="1" w:styleId="CitaCar">
    <w:name w:val="Cita Car"/>
    <w:basedOn w:val="Fuentedeprrafopredeter"/>
    <w:link w:val="Cita"/>
    <w:uiPriority w:val="29"/>
    <w:rsid w:val="005318CE"/>
    <w:rPr>
      <w:i/>
      <w:iCs/>
      <w:color w:val="404040" w:themeColor="text1" w:themeTint="BF"/>
    </w:rPr>
  </w:style>
  <w:style w:type="paragraph" w:styleId="Prrafodelista">
    <w:name w:val="List Paragraph"/>
    <w:basedOn w:val="Normal"/>
    <w:uiPriority w:val="34"/>
    <w:qFormat/>
    <w:rsid w:val="005318CE"/>
    <w:pPr>
      <w:ind w:left="720"/>
      <w:contextualSpacing/>
    </w:pPr>
  </w:style>
  <w:style w:type="character" w:styleId="nfasisintenso">
    <w:name w:val="Intense Emphasis"/>
    <w:basedOn w:val="Fuentedeprrafopredeter"/>
    <w:uiPriority w:val="21"/>
    <w:qFormat/>
    <w:rsid w:val="005318CE"/>
    <w:rPr>
      <w:i/>
      <w:iCs/>
      <w:color w:val="0F4761" w:themeColor="accent1" w:themeShade="BF"/>
    </w:rPr>
  </w:style>
  <w:style w:type="paragraph" w:styleId="Citadestacada">
    <w:name w:val="Intense Quote"/>
    <w:basedOn w:val="Normal"/>
    <w:next w:val="Normal"/>
    <w:link w:val="CitadestacadaCar"/>
    <w:uiPriority w:val="30"/>
    <w:qFormat/>
    <w:rsid w:val="00531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18CE"/>
    <w:rPr>
      <w:i/>
      <w:iCs/>
      <w:color w:val="0F4761" w:themeColor="accent1" w:themeShade="BF"/>
    </w:rPr>
  </w:style>
  <w:style w:type="character" w:styleId="Referenciaintensa">
    <w:name w:val="Intense Reference"/>
    <w:basedOn w:val="Fuentedeprrafopredeter"/>
    <w:uiPriority w:val="32"/>
    <w:qFormat/>
    <w:rsid w:val="005318CE"/>
    <w:rPr>
      <w:b/>
      <w:bCs/>
      <w:smallCaps/>
      <w:color w:val="0F4761" w:themeColor="accent1" w:themeShade="BF"/>
      <w:spacing w:val="5"/>
    </w:rPr>
  </w:style>
  <w:style w:type="character" w:styleId="Hipervnculo">
    <w:name w:val="Hyperlink"/>
    <w:basedOn w:val="Fuentedeprrafopredeter"/>
    <w:uiPriority w:val="99"/>
    <w:unhideWhenUsed/>
    <w:rsid w:val="004437C4"/>
    <w:rPr>
      <w:color w:val="467886" w:themeColor="hyperlink"/>
      <w:u w:val="single"/>
    </w:rPr>
  </w:style>
  <w:style w:type="character" w:styleId="Mencinsinresolver">
    <w:name w:val="Unresolved Mention"/>
    <w:basedOn w:val="Fuentedeprrafopredeter"/>
    <w:uiPriority w:val="99"/>
    <w:semiHidden/>
    <w:unhideWhenUsed/>
    <w:rsid w:val="00443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hu.unisinos.br/entrevistas/543244-reducao-da-maioridade-penal-mais-uma-disputa-em-jogo-entrevista-especial-com-andre-pacheco-teixeira-mendes-" TargetMode="External"/><Relationship Id="rId18" Type="http://schemas.openxmlformats.org/officeDocument/2006/relationships/hyperlink" Target="https://www.ihu.unisinos.br/categorias/188-noticias-2018/584211-para-a-onu-reducao-da-maioridade-penal-pode-agravar-a-violencia-no-brasil" TargetMode="External"/><Relationship Id="rId26" Type="http://schemas.openxmlformats.org/officeDocument/2006/relationships/hyperlink" Target="https://ihu.unisinos.br/categorias/645678-seguranca-publica-21-anos-depois-artigo-de-luiz-eduardo-soares-e-manuel-domingos-neto" TargetMode="External"/><Relationship Id="rId39" Type="http://schemas.openxmlformats.org/officeDocument/2006/relationships/hyperlink" Target="https://www.ihu.unisinos.br/categorias/159-entrevistas/563950-pacto-de-manutencao-da-ordem-nos-presidios-e-insatisfatorio-e-nao-garante-seguranca-fora-dos-muros-do-carcere-entrevista-especial-com-rodrigo-de-azevedo" TargetMode="External"/><Relationship Id="rId21" Type="http://schemas.openxmlformats.org/officeDocument/2006/relationships/hyperlink" Target="https://ihu.unisinos.br/584486" TargetMode="External"/><Relationship Id="rId34" Type="http://schemas.openxmlformats.org/officeDocument/2006/relationships/hyperlink" Target="https://ihu.unisinos.br/categorias/159-entrevistas/564467-aumento-da-populacao-carceraria-implica-aumento-da-violacao-de-direitos" TargetMode="External"/><Relationship Id="rId42" Type="http://schemas.openxmlformats.org/officeDocument/2006/relationships/hyperlink" Target="https://www.ihu.unisinos.br/categorias/630742-estatuto-da-crianca-e-do-adolescente-eca-33-anos-de-avancos-e-desafios-na-luta-por-direitos" TargetMode="External"/><Relationship Id="rId47" Type="http://schemas.openxmlformats.org/officeDocument/2006/relationships/theme" Target="theme/theme1.xml"/><Relationship Id="rId7" Type="http://schemas.openxmlformats.org/officeDocument/2006/relationships/hyperlink" Target="https://ihu.unisinos.br/sobre-o-ihu/78-noticias/631068-raio-x-carcerario-superlotacao-prisao-ilegal-e-morosidade" TargetMode="External"/><Relationship Id="rId2" Type="http://schemas.openxmlformats.org/officeDocument/2006/relationships/settings" Target="settings.xml"/><Relationship Id="rId16" Type="http://schemas.openxmlformats.org/officeDocument/2006/relationships/hyperlink" Target="https://www.ihu.unisinos.br/categorias/186-noticias-2017/573362-desigualdade-e-preconceito-perpetrados-pela-sociedade-e-pelo-estado" TargetMode="External"/><Relationship Id="rId29" Type="http://schemas.openxmlformats.org/officeDocument/2006/relationships/hyperlink" Target="https://ihu.unisinos.br/categorias/185-noticias-2016/557862-o-neoliberalismo-baseia-se-em-politicas-sociais-penais-entrevista-com-vera-malaguti-batista" TargetMode="External"/><Relationship Id="rId1" Type="http://schemas.openxmlformats.org/officeDocument/2006/relationships/styles" Target="styles.xml"/><Relationship Id="rId6" Type="http://schemas.openxmlformats.org/officeDocument/2006/relationships/hyperlink" Target="https://www.ihu.unisinos.br/categorias/662343-a-queda-dos-homicidios-no-brasil-paz-de-cemiterio-da-propina-e-da-planilha-artigo-de-jacqueline-muniz" TargetMode="External"/><Relationship Id="rId11" Type="http://schemas.openxmlformats.org/officeDocument/2006/relationships/hyperlink" Target="https://ihu.unisinos.br/categorias/159-entrevistas/647437-pec-da-seguranca-publica-em-vez-de-solucionar-questoes-de-fundo-federaliza-os-problemas-das-policias-entrevista-especial-com-gabriel-feltran" TargetMode="External"/><Relationship Id="rId24" Type="http://schemas.openxmlformats.org/officeDocument/2006/relationships/hyperlink" Target="https://www.ihu.unisinos.br/626778-criminalidade-aumenta-na-america-do%20-sul-e-no-caribe" TargetMode="External"/><Relationship Id="rId32" Type="http://schemas.openxmlformats.org/officeDocument/2006/relationships/hyperlink" Target="https://ihu.unisinos.br/categorias/655252-um-argumento-feminista-contra-o-punitivismo-artigo-de-jasmim-bazan" TargetMode="External"/><Relationship Id="rId37" Type="http://schemas.openxmlformats.org/officeDocument/2006/relationships/hyperlink" Target="https://www.ihu.unisinos.br/categorias/662343-a-queda-dos-homicidios-no-brasil-paz-de-cemiterio-da-propina-e-da-planilha-artigo-de-jacqueline-muniz" TargetMode="External"/><Relationship Id="rId40" Type="http://schemas.openxmlformats.org/officeDocument/2006/relationships/hyperlink" Target="https://www.ihu.unisinos.br/entrevistas/544364-reducao-da-maioridade-penal-medidas-pontuais-sao-desastrosas-entrevista-especial-com-jacqueline-sinhoretto" TargetMode="External"/><Relationship Id="rId45" Type="http://schemas.openxmlformats.org/officeDocument/2006/relationships/hyperlink" Target="https://www.ihu.unisinos.br/667785-reducao-da-maioridade-penal-a-seguranca-publica-dificilmente-sera-alcancada-apenas-por-meio-do-aumento-da-punicao-entrevista-especial-com-alexander-rodrigues-de-castro" TargetMode="External"/><Relationship Id="rId5" Type="http://schemas.openxmlformats.org/officeDocument/2006/relationships/hyperlink" Target="https://ihu.unisinos.br/666947-camara-deve-votar-nesta-terca-pec-que-reduz-maioridade-penal-para-16-anos" TargetMode="External"/><Relationship Id="rId15" Type="http://schemas.openxmlformats.org/officeDocument/2006/relationships/hyperlink" Target="https://ihu.unisinos.br/169-noticias-2015/541367-maioridade-penal-18-motivos-contra-a-reducao" TargetMode="External"/><Relationship Id="rId23" Type="http://schemas.openxmlformats.org/officeDocument/2006/relationships/hyperlink" Target="https://www.ihu.unisinos.br/categorias/159-entrevistas/594628-a-racionalidade-punitivista-em-debate-a-partir-da-realidade-brasileira-e-a-luz-do-pensamento-do-papa-francisco-entrevista-especial-com-miguel-wedy-e-roberto-romano" TargetMode="External"/><Relationship Id="rId28" Type="http://schemas.openxmlformats.org/officeDocument/2006/relationships/hyperlink" Target="https://ihu.unisinos.br/666523-brasil-e-eua-intensificam-combate-ao-trafico-internacional-de-pcc-e-comando-vermelho" TargetMode="External"/><Relationship Id="rId36" Type="http://schemas.openxmlformats.org/officeDocument/2006/relationships/hyperlink" Target="https://ihu.unisinos.br/publicacoes/159-noticias/entrevistas/544364-reducao-da-maioridade-penal-medidas-pontuais-sao-desastrosas-entrevista-especial-com-jacqueline-sinhoretto" TargetMode="External"/><Relationship Id="rId10" Type="http://schemas.openxmlformats.org/officeDocument/2006/relationships/hyperlink" Target="https://www.ihu.unisinos.br/666947-camara-deve-votar-nesta-terca-pec-que-reduz-maioridade-penal-para-16-anos" TargetMode="External"/><Relationship Id="rId19" Type="http://schemas.openxmlformats.org/officeDocument/2006/relationships/hyperlink" Target="https://ihu.unisinos.br/publicacoes/159-noticias/entrevistas/545605-reducao-da-maioridade-penal-o-crime-so-inclui-quando-o-estado-exclui-entrevista-especial-com-ariel-de-castro-alves-" TargetMode="External"/><Relationship Id="rId31" Type="http://schemas.openxmlformats.org/officeDocument/2006/relationships/hyperlink" Target="https://ihu.unisinos.br/entrevistas/510293-o-sistema-carcerario-e-tao-grande-ou-maior-que-a-criminalidade-entrevista-especial-com-jose-de-jesus-filho" TargetMode="External"/><Relationship Id="rId44" Type="http://schemas.openxmlformats.org/officeDocument/2006/relationships/hyperlink" Target="https://ihu.unisinos.br/551293" TargetMode="External"/><Relationship Id="rId4" Type="http://schemas.openxmlformats.org/officeDocument/2006/relationships/image" Target="media/image1.png"/><Relationship Id="rId9" Type="http://schemas.openxmlformats.org/officeDocument/2006/relationships/image" Target="media/image2.jpeg"/><Relationship Id="rId14" Type="http://schemas.openxmlformats.org/officeDocument/2006/relationships/hyperlink" Target="https://www.ihu.unisinos.br/categorias/613530-o-desmonte-da-constituicao-federal-de-1988-e-o-desafio-de-uma-cultura-constitucional" TargetMode="External"/><Relationship Id="rId22" Type="http://schemas.openxmlformats.org/officeDocument/2006/relationships/hyperlink" Target="https://www.ihu.unisinos.br/categorias/665983-o-grande-paradoxo-do-combate-a-criminalidade-artigo-de-renato-dornelles" TargetMode="External"/><Relationship Id="rId27" Type="http://schemas.openxmlformats.org/officeDocument/2006/relationships/hyperlink" Target="https://www.ihu.unisinos.br/666147-programa-brasil" TargetMode="External"/><Relationship Id="rId30" Type="http://schemas.openxmlformats.org/officeDocument/2006/relationships/hyperlink" Target="https://www.ihu.unisinos.br/667247-classificacao-pelos-estados-unidos-de-organizacoes-criminosas-atuantes-no-brasil-como-organizacoes-terroristas-artigo-de-jose-geraldo-de-sousa-junior" TargetMode="External"/><Relationship Id="rId35" Type="http://schemas.openxmlformats.org/officeDocument/2006/relationships/hyperlink" Target="https://ihu.unisinos.br/categorias/588997-forum-brasileiro-de-seguranca-publica-critica-flexibilizacao-de-armas-contraria-legislacao-e-ignora-estudos" TargetMode="External"/><Relationship Id="rId43" Type="http://schemas.openxmlformats.org/officeDocument/2006/relationships/hyperlink" Target="https://ihu.unisinos.br/noticias/544889-reducao-da-maioridade-penal-cria-sistema-incerto" TargetMode="External"/><Relationship Id="rId8" Type="http://schemas.openxmlformats.org/officeDocument/2006/relationships/hyperlink" Target="https://www.ihu.unisinos.br/espiritualidade/78-noticias/659246-do-cv-ao-pcc-como-opera-o-crime-organizado-no-brasil" TargetMode="External"/><Relationship Id="rId3" Type="http://schemas.openxmlformats.org/officeDocument/2006/relationships/webSettings" Target="webSettings.xml"/><Relationship Id="rId12" Type="http://schemas.openxmlformats.org/officeDocument/2006/relationships/hyperlink" Target="https://ihu.unisinos.br/categorias/626778-criminalidade-aumenta-na-america-do-sul-e-no-caribe" TargetMode="External"/><Relationship Id="rId17" Type="http://schemas.openxmlformats.org/officeDocument/2006/relationships/hyperlink" Target="https://www.ihu.unisinos.br/658109-caricaturas-da-seguranca-publica-do-apocalipse-da-direita-a-quimera-da-esquerda-motores-do-governo-da-inseguranca-artigo-de-jacqueline-muniz" TargetMode="External"/><Relationship Id="rId25" Type="http://schemas.openxmlformats.org/officeDocument/2006/relationships/hyperlink" Target="https://ihu.unisinos.br/categorias/635825-juventudes-dispensadas-artigo-de-gabriel-grabowski" TargetMode="External"/><Relationship Id="rId33" Type="http://schemas.openxmlformats.org/officeDocument/2006/relationships/hyperlink" Target="https://ihu.unisinos.br/categorias/659242-megaoperacao-expoe-disputa-sobre-gestao-da-seguranca-publica" TargetMode="External"/><Relationship Id="rId38" Type="http://schemas.openxmlformats.org/officeDocument/2006/relationships/hyperlink" Target="https://www.ihu.unisinos.br/entrevistas/512086-os-mulas-e-o-trafico-formiguinha-na-fronteira-brasil-paraguai-entrevista-especial-com-andrea-pires-rocha" TargetMode="External"/><Relationship Id="rId46" Type="http://schemas.openxmlformats.org/officeDocument/2006/relationships/fontTable" Target="fontTable.xml"/><Relationship Id="rId20" Type="http://schemas.openxmlformats.org/officeDocument/2006/relationships/hyperlink" Target="https://www.ihu.unisinos.br/categorias/186-noticias-2017/571597-senado-volta-a-analisar-reducao-de-maioridade-penal-de-18-para-16-anos" TargetMode="External"/><Relationship Id="rId41" Type="http://schemas.openxmlformats.org/officeDocument/2006/relationships/hyperlink" Target="https://www.ihu.unisinos.br/categorias/167-observasinos/562994-a-implementacao-da-politica-de-acolhimento-institucional-para-criancas-e-adolescentes-em-sapucaia-do-su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5248</Words>
  <Characters>28867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2026-07-01T11:59:00Z</dcterms:created>
  <dcterms:modified xsi:type="dcterms:W3CDTF">2026-07-01T12:11:00Z</dcterms:modified>
</cp:coreProperties>
</file>