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34575" w14:textId="77777777" w:rsidR="005C2FAE" w:rsidRPr="005C2FAE" w:rsidRDefault="005C2FAE" w:rsidP="005C2FAE">
      <w:pPr>
        <w:shd w:val="clear" w:color="auto" w:fill="FFFFFF"/>
        <w:spacing w:after="0" w:line="240" w:lineRule="auto"/>
        <w:jc w:val="both"/>
        <w:outlineLvl w:val="0"/>
        <w:rPr>
          <w:rFonts w:ascii="Arial" w:eastAsia="Times New Roman" w:hAnsi="Arial" w:cs="Arial"/>
          <w:b/>
          <w:bCs/>
          <w:color w:val="222222"/>
          <w:kern w:val="36"/>
          <w:sz w:val="48"/>
          <w:szCs w:val="48"/>
          <w:lang w:eastAsia="es-UY"/>
          <w14:ligatures w14:val="none"/>
        </w:rPr>
      </w:pPr>
      <w:r w:rsidRPr="005C2FAE">
        <w:rPr>
          <w:rFonts w:ascii="Arial" w:eastAsia="Times New Roman" w:hAnsi="Arial" w:cs="Arial"/>
          <w:b/>
          <w:bCs/>
          <w:color w:val="1F1F1F"/>
          <w:kern w:val="36"/>
          <w:sz w:val="46"/>
          <w:szCs w:val="46"/>
          <w:lang w:eastAsia="es-UY"/>
          <w14:ligatures w14:val="none"/>
        </w:rPr>
        <w:t>El combustible sostenible de aviación transforma las rutas aéreas internacionales mediante el uso de residuos biológicos</w:t>
      </w:r>
    </w:p>
    <w:p w14:paraId="3B7C4F27" w14:textId="77777777" w:rsidR="005C2FAE" w:rsidRPr="005C2FAE" w:rsidRDefault="005C2FAE" w:rsidP="005C2FAE">
      <w:pPr>
        <w:shd w:val="clear" w:color="auto" w:fill="FFFFFF"/>
        <w:spacing w:after="0" w:line="240" w:lineRule="auto"/>
        <w:jc w:val="both"/>
        <w:rPr>
          <w:rFonts w:ascii="Arial" w:eastAsia="Times New Roman" w:hAnsi="Arial" w:cs="Arial"/>
          <w:color w:val="222222"/>
          <w:kern w:val="0"/>
          <w:lang w:eastAsia="es-UY"/>
          <w14:ligatures w14:val="none"/>
        </w:rPr>
      </w:pPr>
    </w:p>
    <w:p w14:paraId="2AF5671B" w14:textId="30042EAB" w:rsidR="005C2FAE" w:rsidRPr="005C2FAE" w:rsidRDefault="005C2FAE" w:rsidP="005C2FAE">
      <w:pPr>
        <w:shd w:val="clear" w:color="auto" w:fill="FFFFFF"/>
        <w:spacing w:after="0" w:line="240" w:lineRule="auto"/>
        <w:rPr>
          <w:rFonts w:ascii="Arial" w:eastAsia="Times New Roman" w:hAnsi="Arial" w:cs="Arial"/>
          <w:color w:val="222222"/>
          <w:kern w:val="0"/>
          <w:lang w:eastAsia="es-UY"/>
          <w14:ligatures w14:val="none"/>
        </w:rPr>
      </w:pPr>
    </w:p>
    <w:p w14:paraId="23814BC8" w14:textId="77777777" w:rsidR="005C2FAE" w:rsidRPr="005C2FAE" w:rsidRDefault="005C2FAE" w:rsidP="005C2FAE">
      <w:pPr>
        <w:shd w:val="clear" w:color="auto" w:fill="FFFFFF"/>
        <w:spacing w:after="0" w:line="240" w:lineRule="auto"/>
        <w:jc w:val="both"/>
        <w:rPr>
          <w:rFonts w:ascii="Arial" w:eastAsia="Times New Roman" w:hAnsi="Arial" w:cs="Arial"/>
          <w:color w:val="222222"/>
          <w:kern w:val="0"/>
          <w:lang w:eastAsia="es-UY"/>
          <w14:ligatures w14:val="none"/>
        </w:rPr>
      </w:pPr>
      <w:r w:rsidRPr="005C2FAE">
        <w:rPr>
          <w:rFonts w:ascii="Arial" w:eastAsia="Times New Roman" w:hAnsi="Arial" w:cs="Arial"/>
          <w:color w:val="1F1F1F"/>
          <w:kern w:val="0"/>
          <w:sz w:val="22"/>
          <w:szCs w:val="22"/>
          <w:lang w:eastAsia="es-UY"/>
          <w14:ligatures w14:val="none"/>
        </w:rPr>
        <w:t>La industria aérea global afronta su mayor reconfiguración estructural tras consolidarse el uso comercial de biocarburantes obtenidos a partir de aceites usados. Un reciente informe sectorial revela que la aviación comercial genera aproximadamente el 2.5% de las emisiones globales de dióxido de carbono, una realidad operativa que obliga a las compañías a buscar alternativas urgentes. </w:t>
      </w:r>
    </w:p>
    <w:p w14:paraId="3244EA62" w14:textId="77777777" w:rsidR="005C2FAE" w:rsidRPr="005C2FAE" w:rsidRDefault="005C2FAE" w:rsidP="005C2FAE">
      <w:pPr>
        <w:shd w:val="clear" w:color="auto" w:fill="FFFFFF"/>
        <w:spacing w:after="0" w:line="240" w:lineRule="auto"/>
        <w:jc w:val="both"/>
        <w:rPr>
          <w:rFonts w:ascii="Arial" w:eastAsia="Times New Roman" w:hAnsi="Arial" w:cs="Arial"/>
          <w:color w:val="222222"/>
          <w:kern w:val="0"/>
          <w:lang w:eastAsia="es-UY"/>
          <w14:ligatures w14:val="none"/>
        </w:rPr>
      </w:pPr>
    </w:p>
    <w:p w14:paraId="18E08A52" w14:textId="77777777" w:rsidR="005C2FAE" w:rsidRPr="005C2FAE" w:rsidRDefault="005C2FAE" w:rsidP="005C2FAE">
      <w:pPr>
        <w:shd w:val="clear" w:color="auto" w:fill="FFFFFF"/>
        <w:spacing w:after="0" w:line="240" w:lineRule="auto"/>
        <w:jc w:val="both"/>
        <w:rPr>
          <w:rFonts w:ascii="Arial" w:eastAsia="Times New Roman" w:hAnsi="Arial" w:cs="Arial"/>
          <w:color w:val="222222"/>
          <w:kern w:val="0"/>
          <w:lang w:eastAsia="es-UY"/>
          <w14:ligatures w14:val="none"/>
        </w:rPr>
      </w:pPr>
      <w:r w:rsidRPr="005C2FAE">
        <w:rPr>
          <w:rFonts w:ascii="Arial" w:eastAsia="Times New Roman" w:hAnsi="Arial" w:cs="Arial"/>
          <w:color w:val="1F1F1F"/>
          <w:kern w:val="0"/>
          <w:sz w:val="22"/>
          <w:szCs w:val="22"/>
          <w:lang w:eastAsia="es-UY"/>
          <w14:ligatures w14:val="none"/>
        </w:rPr>
        <w:t>La introducción del combustible sostenible de aviación, producido mediante el reciclaje de aceites de cocina y grasas animales residuales, reduce el impacto ambiental en las operaciones comerciales. Esta optimización energética disminuye drásticamente la</w:t>
      </w:r>
      <w:hyperlink r:id="rId4" w:tgtFrame="_blank" w:history="1">
        <w:r w:rsidRPr="005C2FAE">
          <w:rPr>
            <w:rFonts w:ascii="Arial" w:eastAsia="Times New Roman" w:hAnsi="Arial" w:cs="Arial"/>
            <w:color w:val="1155CC"/>
            <w:kern w:val="0"/>
            <w:sz w:val="22"/>
            <w:szCs w:val="22"/>
            <w:u w:val="single"/>
            <w:lang w:eastAsia="es-UY"/>
            <w14:ligatures w14:val="none"/>
          </w:rPr>
          <w:t xml:space="preserve"> huella carbono</w:t>
        </w:r>
      </w:hyperlink>
      <w:r w:rsidRPr="005C2FAE">
        <w:rPr>
          <w:rFonts w:ascii="Arial" w:eastAsia="Times New Roman" w:hAnsi="Arial" w:cs="Arial"/>
          <w:color w:val="1155CC"/>
          <w:kern w:val="0"/>
          <w:sz w:val="22"/>
          <w:szCs w:val="22"/>
          <w:u w:val="single"/>
          <w:lang w:eastAsia="es-UY"/>
          <w14:ligatures w14:val="none"/>
        </w:rPr>
        <w:t xml:space="preserve"> </w:t>
      </w:r>
      <w:r w:rsidRPr="005C2FAE">
        <w:rPr>
          <w:rFonts w:ascii="Arial" w:eastAsia="Times New Roman" w:hAnsi="Arial" w:cs="Arial"/>
          <w:color w:val="1F1F1F"/>
          <w:kern w:val="0"/>
          <w:sz w:val="22"/>
          <w:szCs w:val="22"/>
          <w:lang w:eastAsia="es-UY"/>
          <w14:ligatures w14:val="none"/>
        </w:rPr>
        <w:t>de las flotas en comparación con el uso de queroseno tradicional. Este avance técnico no requiere modificaciones en los motores ni en las infraestructuras de almacenamiento existentes en los aeropuertos actuales.</w:t>
      </w:r>
    </w:p>
    <w:p w14:paraId="792721A9" w14:textId="77777777" w:rsidR="005C2FAE" w:rsidRPr="005C2FAE" w:rsidRDefault="005C2FAE" w:rsidP="005C2FAE">
      <w:pPr>
        <w:shd w:val="clear" w:color="auto" w:fill="FFFFFF"/>
        <w:spacing w:after="0" w:line="240" w:lineRule="auto"/>
        <w:jc w:val="both"/>
        <w:rPr>
          <w:rFonts w:ascii="Arial" w:eastAsia="Times New Roman" w:hAnsi="Arial" w:cs="Arial"/>
          <w:color w:val="222222"/>
          <w:kern w:val="0"/>
          <w:lang w:eastAsia="es-UY"/>
          <w14:ligatures w14:val="none"/>
        </w:rPr>
      </w:pPr>
    </w:p>
    <w:p w14:paraId="6D43413C" w14:textId="77777777" w:rsidR="005C2FAE" w:rsidRPr="005C2FAE" w:rsidRDefault="005C2FAE" w:rsidP="005C2FAE">
      <w:pPr>
        <w:shd w:val="clear" w:color="auto" w:fill="FFFFFF"/>
        <w:spacing w:after="0" w:line="240" w:lineRule="auto"/>
        <w:jc w:val="both"/>
        <w:outlineLvl w:val="1"/>
        <w:rPr>
          <w:rFonts w:ascii="Arial" w:eastAsia="Times New Roman" w:hAnsi="Arial" w:cs="Arial"/>
          <w:b/>
          <w:bCs/>
          <w:color w:val="222222"/>
          <w:kern w:val="0"/>
          <w:sz w:val="36"/>
          <w:szCs w:val="36"/>
          <w:lang w:eastAsia="es-UY"/>
          <w14:ligatures w14:val="none"/>
        </w:rPr>
      </w:pPr>
      <w:r w:rsidRPr="005C2FAE">
        <w:rPr>
          <w:rFonts w:ascii="Arial" w:eastAsia="Times New Roman" w:hAnsi="Arial" w:cs="Arial"/>
          <w:b/>
          <w:bCs/>
          <w:color w:val="1F1F1F"/>
          <w:kern w:val="0"/>
          <w:sz w:val="34"/>
          <w:szCs w:val="34"/>
          <w:lang w:eastAsia="es-UY"/>
          <w14:ligatures w14:val="none"/>
        </w:rPr>
        <w:t>Expansión de la capacidad productiva en Europa</w:t>
      </w:r>
    </w:p>
    <w:p w14:paraId="482A89EA" w14:textId="77777777" w:rsidR="005C2FAE" w:rsidRPr="005C2FAE" w:rsidRDefault="005C2FAE" w:rsidP="005C2FAE">
      <w:pPr>
        <w:shd w:val="clear" w:color="auto" w:fill="FFFFFF"/>
        <w:spacing w:after="0" w:line="240" w:lineRule="auto"/>
        <w:jc w:val="both"/>
        <w:rPr>
          <w:rFonts w:ascii="Arial" w:eastAsia="Times New Roman" w:hAnsi="Arial" w:cs="Arial"/>
          <w:color w:val="222222"/>
          <w:kern w:val="0"/>
          <w:lang w:eastAsia="es-UY"/>
          <w14:ligatures w14:val="none"/>
        </w:rPr>
      </w:pPr>
      <w:r w:rsidRPr="005C2FAE">
        <w:rPr>
          <w:rFonts w:ascii="Arial" w:eastAsia="Times New Roman" w:hAnsi="Arial" w:cs="Arial"/>
          <w:color w:val="1F1F1F"/>
          <w:kern w:val="0"/>
          <w:sz w:val="22"/>
          <w:szCs w:val="22"/>
          <w:lang w:eastAsia="es-UY"/>
          <w14:ligatures w14:val="none"/>
        </w:rPr>
        <w:t>La infraestructura logística europea da un salto cualitativo con la culminación de la ampliación de la refinería de Neste en el puerto de Rotterdam. Esta instalación estratégica duplica su capacidad operativa hasta alcanzar las 1.3 millones de toneladas anuales de combustibles limpios, consolidando al enclave holandés como el principal nodo de suministro para el continente. Las inversiones en tecnologías de refinado permiten procesar materias primas de baja calidad que antes se descartaban por completo.</w:t>
      </w:r>
    </w:p>
    <w:p w14:paraId="22F9BE3C" w14:textId="77777777" w:rsidR="005C2FAE" w:rsidRPr="005C2FAE" w:rsidRDefault="005C2FAE" w:rsidP="005C2FAE">
      <w:pPr>
        <w:shd w:val="clear" w:color="auto" w:fill="FFFFFF"/>
        <w:spacing w:after="0" w:line="240" w:lineRule="auto"/>
        <w:jc w:val="both"/>
        <w:rPr>
          <w:rFonts w:ascii="Arial" w:eastAsia="Times New Roman" w:hAnsi="Arial" w:cs="Arial"/>
          <w:color w:val="222222"/>
          <w:kern w:val="0"/>
          <w:lang w:eastAsia="es-UY"/>
          <w14:ligatures w14:val="none"/>
        </w:rPr>
      </w:pPr>
    </w:p>
    <w:p w14:paraId="6203D0AC" w14:textId="77777777" w:rsidR="005C2FAE" w:rsidRPr="005C2FAE" w:rsidRDefault="005C2FAE" w:rsidP="005C2FAE">
      <w:pPr>
        <w:shd w:val="clear" w:color="auto" w:fill="FFFFFF"/>
        <w:spacing w:after="0" w:line="240" w:lineRule="auto"/>
        <w:jc w:val="both"/>
        <w:rPr>
          <w:rFonts w:ascii="Arial" w:eastAsia="Times New Roman" w:hAnsi="Arial" w:cs="Arial"/>
          <w:color w:val="222222"/>
          <w:kern w:val="0"/>
          <w:lang w:eastAsia="es-UY"/>
          <w14:ligatures w14:val="none"/>
        </w:rPr>
      </w:pPr>
      <w:r w:rsidRPr="005C2FAE">
        <w:rPr>
          <w:rFonts w:ascii="Arial" w:eastAsia="Times New Roman" w:hAnsi="Arial" w:cs="Arial"/>
          <w:color w:val="1F1F1F"/>
          <w:kern w:val="0"/>
          <w:sz w:val="22"/>
          <w:szCs w:val="22"/>
          <w:lang w:eastAsia="es-UY"/>
          <w14:ligatures w14:val="none"/>
        </w:rPr>
        <w:t>La escala industrial alcanzada en estas instalaciones reduce de manera progresiva la brecha de costes respecto a las energías tradicionales, abriendo la puerta a nuevas sinergias logísticas. La optimización del suministro permite a las empresas energéticas diversificar sus servicios, ayudando a los clientes a</w:t>
      </w:r>
      <w:hyperlink r:id="rId5" w:tgtFrame="_blank" w:history="1">
        <w:r w:rsidRPr="005C2FAE">
          <w:rPr>
            <w:rFonts w:ascii="Arial" w:eastAsia="Times New Roman" w:hAnsi="Arial" w:cs="Arial"/>
            <w:color w:val="1F1F1F"/>
            <w:kern w:val="0"/>
            <w:sz w:val="22"/>
            <w:szCs w:val="22"/>
            <w:lang w:eastAsia="es-UY"/>
            <w14:ligatures w14:val="none"/>
          </w:rPr>
          <w:t xml:space="preserve"> </w:t>
        </w:r>
        <w:r w:rsidRPr="005C2FAE">
          <w:rPr>
            <w:rFonts w:ascii="Arial" w:eastAsia="Times New Roman" w:hAnsi="Arial" w:cs="Arial"/>
            <w:color w:val="1155CC"/>
            <w:kern w:val="0"/>
            <w:sz w:val="22"/>
            <w:szCs w:val="22"/>
            <w:u w:val="single"/>
            <w:lang w:eastAsia="es-UY"/>
            <w14:ligatures w14:val="none"/>
          </w:rPr>
          <w:t>gestionar contratos</w:t>
        </w:r>
      </w:hyperlink>
      <w:r w:rsidRPr="005C2FAE">
        <w:rPr>
          <w:rFonts w:ascii="Arial" w:eastAsia="Times New Roman" w:hAnsi="Arial" w:cs="Arial"/>
          <w:color w:val="1F1F1F"/>
          <w:kern w:val="0"/>
          <w:sz w:val="22"/>
          <w:szCs w:val="22"/>
          <w:lang w:eastAsia="es-UY"/>
          <w14:ligatures w14:val="none"/>
        </w:rPr>
        <w:t xml:space="preserve"> de suministro global. La disponibilidad regular de este recurso transforma los planes de sostenibilidad de las aerolíneas de largo radio.</w:t>
      </w:r>
    </w:p>
    <w:p w14:paraId="47693E43" w14:textId="77777777" w:rsidR="005C2FAE" w:rsidRPr="005C2FAE" w:rsidRDefault="005C2FAE" w:rsidP="005C2FAE">
      <w:pPr>
        <w:shd w:val="clear" w:color="auto" w:fill="FFFFFF"/>
        <w:spacing w:after="0" w:line="240" w:lineRule="auto"/>
        <w:jc w:val="both"/>
        <w:rPr>
          <w:rFonts w:ascii="Arial" w:eastAsia="Times New Roman" w:hAnsi="Arial" w:cs="Arial"/>
          <w:color w:val="222222"/>
          <w:kern w:val="0"/>
          <w:lang w:eastAsia="es-UY"/>
          <w14:ligatures w14:val="none"/>
        </w:rPr>
      </w:pPr>
    </w:p>
    <w:p w14:paraId="2B8659C5" w14:textId="77777777" w:rsidR="005C2FAE" w:rsidRPr="005C2FAE" w:rsidRDefault="005C2FAE" w:rsidP="005C2FAE">
      <w:pPr>
        <w:shd w:val="clear" w:color="auto" w:fill="FFFFFF"/>
        <w:spacing w:after="0" w:line="240" w:lineRule="auto"/>
        <w:jc w:val="both"/>
        <w:outlineLvl w:val="1"/>
        <w:rPr>
          <w:rFonts w:ascii="Arial" w:eastAsia="Times New Roman" w:hAnsi="Arial" w:cs="Arial"/>
          <w:b/>
          <w:bCs/>
          <w:color w:val="222222"/>
          <w:kern w:val="0"/>
          <w:sz w:val="36"/>
          <w:szCs w:val="36"/>
          <w:lang w:eastAsia="es-UY"/>
          <w14:ligatures w14:val="none"/>
        </w:rPr>
      </w:pPr>
      <w:r w:rsidRPr="005C2FAE">
        <w:rPr>
          <w:rFonts w:ascii="Arial" w:eastAsia="Times New Roman" w:hAnsi="Arial" w:cs="Arial"/>
          <w:b/>
          <w:bCs/>
          <w:color w:val="1F1F1F"/>
          <w:kern w:val="0"/>
          <w:sz w:val="34"/>
          <w:szCs w:val="34"/>
          <w:lang w:eastAsia="es-UY"/>
          <w14:ligatures w14:val="none"/>
        </w:rPr>
        <w:t>Impacto regulatorio y comercial en el transporte de larga distancia</w:t>
      </w:r>
    </w:p>
    <w:p w14:paraId="5C2EB4B4" w14:textId="77777777" w:rsidR="005C2FAE" w:rsidRPr="005C2FAE" w:rsidRDefault="005C2FAE" w:rsidP="005C2FAE">
      <w:pPr>
        <w:shd w:val="clear" w:color="auto" w:fill="FFFFFF"/>
        <w:spacing w:after="0" w:line="240" w:lineRule="auto"/>
        <w:jc w:val="both"/>
        <w:rPr>
          <w:rFonts w:ascii="Arial" w:eastAsia="Times New Roman" w:hAnsi="Arial" w:cs="Arial"/>
          <w:color w:val="222222"/>
          <w:kern w:val="0"/>
          <w:lang w:eastAsia="es-UY"/>
          <w14:ligatures w14:val="none"/>
        </w:rPr>
      </w:pPr>
      <w:r w:rsidRPr="005C2FAE">
        <w:rPr>
          <w:rFonts w:ascii="Arial" w:eastAsia="Times New Roman" w:hAnsi="Arial" w:cs="Arial"/>
          <w:color w:val="1F1F1F"/>
          <w:kern w:val="0"/>
          <w:sz w:val="22"/>
          <w:szCs w:val="22"/>
          <w:lang w:eastAsia="es-UY"/>
          <w14:ligatures w14:val="none"/>
        </w:rPr>
        <w:t>Las normativas de la Unión Europea imponen mandatos de mezcla obligatorios que comenzarán a aplicarse de forma progresiva, forzando a las compañías aéreas a asegurar contratos de compra a largo plazo. Esta presión regulatoria coincide con un cambio en los modelos energéticos globales, donde conviven diferentes tecnologías de transición ecológica. En este entorno diversificado, la hibridación con sistemas basados en</w:t>
      </w:r>
      <w:hyperlink r:id="rId6" w:tgtFrame="_blank" w:history="1">
        <w:r w:rsidRPr="005C2FAE">
          <w:rPr>
            <w:rFonts w:ascii="Arial" w:eastAsia="Times New Roman" w:hAnsi="Arial" w:cs="Arial"/>
            <w:color w:val="1155CC"/>
            <w:kern w:val="0"/>
            <w:sz w:val="22"/>
            <w:szCs w:val="22"/>
            <w:u w:val="single"/>
            <w:lang w:eastAsia="es-UY"/>
            <w14:ligatures w14:val="none"/>
          </w:rPr>
          <w:t xml:space="preserve"> placas solares</w:t>
        </w:r>
      </w:hyperlink>
      <w:r w:rsidRPr="005C2FAE">
        <w:rPr>
          <w:rFonts w:ascii="Arial" w:eastAsia="Times New Roman" w:hAnsi="Arial" w:cs="Arial"/>
          <w:color w:val="1F1F1F"/>
          <w:kern w:val="0"/>
          <w:sz w:val="22"/>
          <w:szCs w:val="22"/>
          <w:lang w:eastAsia="es-UY"/>
          <w14:ligatures w14:val="none"/>
        </w:rPr>
        <w:t xml:space="preserve"> en las terminales de carga optimiza los consumos en tierra.</w:t>
      </w:r>
    </w:p>
    <w:p w14:paraId="06D74AF1" w14:textId="77777777" w:rsidR="005C2FAE" w:rsidRPr="005C2FAE" w:rsidRDefault="005C2FAE" w:rsidP="005C2FAE">
      <w:pPr>
        <w:shd w:val="clear" w:color="auto" w:fill="FFFFFF"/>
        <w:spacing w:after="0" w:line="240" w:lineRule="auto"/>
        <w:jc w:val="both"/>
        <w:rPr>
          <w:rFonts w:ascii="Arial" w:eastAsia="Times New Roman" w:hAnsi="Arial" w:cs="Arial"/>
          <w:color w:val="222222"/>
          <w:kern w:val="0"/>
          <w:lang w:eastAsia="es-UY"/>
          <w14:ligatures w14:val="none"/>
        </w:rPr>
      </w:pPr>
    </w:p>
    <w:p w14:paraId="0C62A219" w14:textId="77777777" w:rsidR="005C2FAE" w:rsidRPr="005C2FAE" w:rsidRDefault="005C2FAE" w:rsidP="005C2FAE">
      <w:pPr>
        <w:shd w:val="clear" w:color="auto" w:fill="FFFFFF"/>
        <w:spacing w:after="0" w:line="240" w:lineRule="auto"/>
        <w:jc w:val="both"/>
        <w:rPr>
          <w:rFonts w:ascii="Arial" w:eastAsia="Times New Roman" w:hAnsi="Arial" w:cs="Arial"/>
          <w:color w:val="222222"/>
          <w:kern w:val="0"/>
          <w:lang w:eastAsia="es-UY"/>
          <w14:ligatures w14:val="none"/>
        </w:rPr>
      </w:pPr>
      <w:r w:rsidRPr="005C2FAE">
        <w:rPr>
          <w:rFonts w:ascii="Arial" w:eastAsia="Times New Roman" w:hAnsi="Arial" w:cs="Arial"/>
          <w:color w:val="1F1F1F"/>
          <w:kern w:val="0"/>
          <w:sz w:val="22"/>
          <w:szCs w:val="22"/>
          <w:lang w:eastAsia="es-UY"/>
          <w14:ligatures w14:val="none"/>
        </w:rPr>
        <w:t xml:space="preserve">La transición hacia cielos más limpios genera una intensa competencia por el acceso a los residuos biológicos a nivel global. Los mercados asiáticos e internacionales incrementan sus exportaciones de aceites usados hacia los centros de refinado europeos para satisfacer la demanda inmediata de las flotas modernas. Para maximizar </w:t>
      </w:r>
      <w:r w:rsidRPr="005C2FAE">
        <w:rPr>
          <w:rFonts w:ascii="Arial" w:eastAsia="Times New Roman" w:hAnsi="Arial" w:cs="Arial"/>
          <w:color w:val="1F1F1F"/>
          <w:kern w:val="0"/>
          <w:sz w:val="22"/>
          <w:szCs w:val="22"/>
          <w:lang w:eastAsia="es-UY"/>
          <w14:ligatures w14:val="none"/>
        </w:rPr>
        <w:lastRenderedPageBreak/>
        <w:t>la eficiencia de estas instalaciones aeroportuarias, los operadores aceleran la</w:t>
      </w:r>
      <w:hyperlink r:id="rId7" w:tgtFrame="_blank" w:history="1">
        <w:r w:rsidRPr="005C2FAE">
          <w:rPr>
            <w:rFonts w:ascii="Arial" w:eastAsia="Times New Roman" w:hAnsi="Arial" w:cs="Arial"/>
            <w:color w:val="1F1F1F"/>
            <w:kern w:val="0"/>
            <w:sz w:val="22"/>
            <w:szCs w:val="22"/>
            <w:lang w:eastAsia="es-UY"/>
            <w14:ligatures w14:val="none"/>
          </w:rPr>
          <w:t xml:space="preserve"> </w:t>
        </w:r>
        <w:r w:rsidRPr="005C2FAE">
          <w:rPr>
            <w:rFonts w:ascii="Arial" w:eastAsia="Times New Roman" w:hAnsi="Arial" w:cs="Arial"/>
            <w:color w:val="1155CC"/>
            <w:kern w:val="0"/>
            <w:sz w:val="22"/>
            <w:szCs w:val="22"/>
            <w:u w:val="single"/>
            <w:lang w:eastAsia="es-UY"/>
            <w14:ligatures w14:val="none"/>
          </w:rPr>
          <w:t>instalación placas solares</w:t>
        </w:r>
      </w:hyperlink>
      <w:r w:rsidRPr="005C2FAE">
        <w:rPr>
          <w:rFonts w:ascii="Arial" w:eastAsia="Times New Roman" w:hAnsi="Arial" w:cs="Arial"/>
          <w:color w:val="1F1F1F"/>
          <w:kern w:val="0"/>
          <w:sz w:val="22"/>
          <w:szCs w:val="22"/>
          <w:lang w:eastAsia="es-UY"/>
          <w14:ligatures w14:val="none"/>
        </w:rPr>
        <w:t xml:space="preserve"> en los hangares de mantenimiento, reduciendo los costes fijos de la cadena de suministro.</w:t>
      </w:r>
    </w:p>
    <w:p w14:paraId="3EF14271" w14:textId="77777777" w:rsidR="005C2FAE" w:rsidRPr="005C2FAE" w:rsidRDefault="005C2FAE" w:rsidP="005C2FAE">
      <w:pPr>
        <w:shd w:val="clear" w:color="auto" w:fill="FFFFFF"/>
        <w:spacing w:after="0" w:line="240" w:lineRule="auto"/>
        <w:jc w:val="both"/>
        <w:rPr>
          <w:rFonts w:ascii="Arial" w:eastAsia="Times New Roman" w:hAnsi="Arial" w:cs="Arial"/>
          <w:color w:val="222222"/>
          <w:kern w:val="0"/>
          <w:lang w:eastAsia="es-UY"/>
          <w14:ligatures w14:val="none"/>
        </w:rPr>
      </w:pPr>
    </w:p>
    <w:p w14:paraId="488ECD14" w14:textId="77777777" w:rsidR="005C2FAE" w:rsidRPr="005C2FAE" w:rsidRDefault="005C2FAE" w:rsidP="005C2FAE">
      <w:pPr>
        <w:shd w:val="clear" w:color="auto" w:fill="FFFFFF"/>
        <w:spacing w:after="0" w:line="240" w:lineRule="auto"/>
        <w:jc w:val="both"/>
        <w:outlineLvl w:val="1"/>
        <w:rPr>
          <w:rFonts w:ascii="Arial" w:eastAsia="Times New Roman" w:hAnsi="Arial" w:cs="Arial"/>
          <w:b/>
          <w:bCs/>
          <w:color w:val="222222"/>
          <w:kern w:val="0"/>
          <w:sz w:val="36"/>
          <w:szCs w:val="36"/>
          <w:lang w:eastAsia="es-UY"/>
          <w14:ligatures w14:val="none"/>
        </w:rPr>
      </w:pPr>
      <w:r w:rsidRPr="005C2FAE">
        <w:rPr>
          <w:rFonts w:ascii="Arial" w:eastAsia="Times New Roman" w:hAnsi="Arial" w:cs="Arial"/>
          <w:b/>
          <w:bCs/>
          <w:color w:val="1F1F1F"/>
          <w:kern w:val="0"/>
          <w:sz w:val="34"/>
          <w:szCs w:val="34"/>
          <w:lang w:eastAsia="es-UY"/>
          <w14:ligatures w14:val="none"/>
        </w:rPr>
        <w:t>Estrategias de abastecimiento en las aerolíneas internacionales</w:t>
      </w:r>
    </w:p>
    <w:p w14:paraId="295E64EA" w14:textId="77777777" w:rsidR="005C2FAE" w:rsidRPr="005C2FAE" w:rsidRDefault="005C2FAE" w:rsidP="005C2FAE">
      <w:pPr>
        <w:shd w:val="clear" w:color="auto" w:fill="FFFFFF"/>
        <w:spacing w:after="0" w:line="240" w:lineRule="auto"/>
        <w:jc w:val="both"/>
        <w:rPr>
          <w:rFonts w:ascii="Arial" w:eastAsia="Times New Roman" w:hAnsi="Arial" w:cs="Arial"/>
          <w:color w:val="222222"/>
          <w:kern w:val="0"/>
          <w:lang w:eastAsia="es-UY"/>
          <w14:ligatures w14:val="none"/>
        </w:rPr>
      </w:pPr>
      <w:r w:rsidRPr="005C2FAE">
        <w:rPr>
          <w:rFonts w:ascii="Arial" w:eastAsia="Times New Roman" w:hAnsi="Arial" w:cs="Arial"/>
          <w:color w:val="1F1F1F"/>
          <w:kern w:val="0"/>
          <w:sz w:val="22"/>
          <w:szCs w:val="22"/>
          <w:lang w:eastAsia="es-UY"/>
          <w14:ligatures w14:val="none"/>
        </w:rPr>
        <w:t>La adopción de este carburante alternativo se extiende a los operadores del hemisferio sur con programas específicos de integración en sus rutas principales. Compañías de gran relevancia internacional como Qantas comienzan a utilizar biocombustible de forma regular en sus trayectos de largo recorrido para cumplir con los objetivos de descarbonización fijados para la próxima década. Estas operaciones demuestran la viabilidad técnica del producto en trayectos que superan las doce horas de vuelo ininterrumpido.</w:t>
      </w:r>
    </w:p>
    <w:p w14:paraId="25522706" w14:textId="77777777" w:rsidR="005C2FAE" w:rsidRPr="005C2FAE" w:rsidRDefault="005C2FAE" w:rsidP="005C2FAE">
      <w:pPr>
        <w:shd w:val="clear" w:color="auto" w:fill="FFFFFF"/>
        <w:spacing w:after="0" w:line="240" w:lineRule="auto"/>
        <w:jc w:val="both"/>
        <w:rPr>
          <w:rFonts w:ascii="Arial" w:eastAsia="Times New Roman" w:hAnsi="Arial" w:cs="Arial"/>
          <w:color w:val="222222"/>
          <w:kern w:val="0"/>
          <w:lang w:eastAsia="es-UY"/>
          <w14:ligatures w14:val="none"/>
        </w:rPr>
      </w:pPr>
    </w:p>
    <w:p w14:paraId="5BAFC5A1" w14:textId="77777777" w:rsidR="005C2FAE" w:rsidRPr="005C2FAE" w:rsidRDefault="005C2FAE" w:rsidP="005C2FAE">
      <w:pPr>
        <w:shd w:val="clear" w:color="auto" w:fill="FFFFFF"/>
        <w:spacing w:after="0" w:line="240" w:lineRule="auto"/>
        <w:jc w:val="both"/>
        <w:rPr>
          <w:rFonts w:ascii="Arial" w:eastAsia="Times New Roman" w:hAnsi="Arial" w:cs="Arial"/>
          <w:color w:val="222222"/>
          <w:kern w:val="0"/>
          <w:lang w:eastAsia="es-UY"/>
          <w14:ligatures w14:val="none"/>
        </w:rPr>
      </w:pPr>
      <w:r w:rsidRPr="005C2FAE">
        <w:rPr>
          <w:rFonts w:ascii="Arial" w:eastAsia="Times New Roman" w:hAnsi="Arial" w:cs="Arial"/>
          <w:color w:val="1F1F1F"/>
          <w:kern w:val="0"/>
          <w:sz w:val="22"/>
          <w:szCs w:val="22"/>
          <w:lang w:eastAsia="es-UY"/>
          <w14:ligatures w14:val="none"/>
        </w:rPr>
        <w:t>El uso de biocombustibles en la aviación comercial avanza de la mano de alianzas estratégicas entre productores de energía limpia y consorcios aeronáuticos globales. En paralelo, los centros logísticos asociados aprovechan superficies en desuso mediante la implementación de</w:t>
      </w:r>
      <w:hyperlink r:id="rId8" w:tgtFrame="_blank" w:history="1">
        <w:r w:rsidRPr="005C2FAE">
          <w:rPr>
            <w:rFonts w:ascii="Arial" w:eastAsia="Times New Roman" w:hAnsi="Arial" w:cs="Arial"/>
            <w:color w:val="1F1F1F"/>
            <w:kern w:val="0"/>
            <w:sz w:val="22"/>
            <w:szCs w:val="22"/>
            <w:lang w:eastAsia="es-UY"/>
            <w14:ligatures w14:val="none"/>
          </w:rPr>
          <w:t xml:space="preserve"> </w:t>
        </w:r>
        <w:r w:rsidRPr="005C2FAE">
          <w:rPr>
            <w:rFonts w:ascii="Arial" w:eastAsia="Times New Roman" w:hAnsi="Arial" w:cs="Arial"/>
            <w:color w:val="1155CC"/>
            <w:kern w:val="0"/>
            <w:sz w:val="22"/>
            <w:szCs w:val="22"/>
            <w:u w:val="single"/>
            <w:lang w:eastAsia="es-UY"/>
            <w14:ligatures w14:val="none"/>
          </w:rPr>
          <w:t>paneles fotovoltaicos</w:t>
        </w:r>
      </w:hyperlink>
      <w:r w:rsidRPr="005C2FAE">
        <w:rPr>
          <w:rFonts w:ascii="Arial" w:eastAsia="Times New Roman" w:hAnsi="Arial" w:cs="Arial"/>
          <w:color w:val="1F1F1F"/>
          <w:kern w:val="0"/>
          <w:sz w:val="22"/>
          <w:szCs w:val="22"/>
          <w:lang w:eastAsia="es-UY"/>
          <w14:ligatures w14:val="none"/>
        </w:rPr>
        <w:t xml:space="preserve"> para autoconsumo industrial. Esta aproximación integral asegura la sostenibilidad del proceso desde la recogida del residuo hasta su consumo final en el aire.</w:t>
      </w:r>
    </w:p>
    <w:p w14:paraId="013D9107" w14:textId="77777777" w:rsidR="005C2FAE" w:rsidRPr="005C2FAE" w:rsidRDefault="005C2FAE" w:rsidP="005C2FAE">
      <w:pPr>
        <w:shd w:val="clear" w:color="auto" w:fill="FFFFFF"/>
        <w:spacing w:after="0" w:line="240" w:lineRule="auto"/>
        <w:jc w:val="both"/>
        <w:rPr>
          <w:rFonts w:ascii="Arial" w:eastAsia="Times New Roman" w:hAnsi="Arial" w:cs="Arial"/>
          <w:color w:val="222222"/>
          <w:kern w:val="0"/>
          <w:lang w:eastAsia="es-UY"/>
          <w14:ligatures w14:val="none"/>
        </w:rPr>
      </w:pPr>
    </w:p>
    <w:p w14:paraId="31F15D5C" w14:textId="77777777" w:rsidR="005C2FAE" w:rsidRPr="005C2FAE" w:rsidRDefault="005C2FAE" w:rsidP="005C2FAE">
      <w:pPr>
        <w:shd w:val="clear" w:color="auto" w:fill="FFFFFF"/>
        <w:spacing w:after="0" w:line="240" w:lineRule="auto"/>
        <w:jc w:val="both"/>
        <w:rPr>
          <w:rFonts w:ascii="Arial" w:eastAsia="Times New Roman" w:hAnsi="Arial" w:cs="Arial"/>
          <w:color w:val="222222"/>
          <w:kern w:val="0"/>
          <w:lang w:eastAsia="es-UY"/>
          <w14:ligatures w14:val="none"/>
        </w:rPr>
      </w:pPr>
      <w:r w:rsidRPr="005C2FAE">
        <w:rPr>
          <w:rFonts w:ascii="Arial" w:eastAsia="Times New Roman" w:hAnsi="Arial" w:cs="Arial"/>
          <w:color w:val="1F1F1F"/>
          <w:kern w:val="0"/>
          <w:sz w:val="22"/>
          <w:szCs w:val="22"/>
          <w:lang w:eastAsia="es-UY"/>
          <w14:ligatures w14:val="none"/>
        </w:rPr>
        <w:t xml:space="preserve">Fuente: </w:t>
      </w:r>
      <w:hyperlink r:id="rId9" w:tgtFrame="_blank" w:history="1">
        <w:r w:rsidRPr="005C2FAE">
          <w:rPr>
            <w:rFonts w:ascii="Arial" w:eastAsia="Times New Roman" w:hAnsi="Arial" w:cs="Arial"/>
            <w:color w:val="1155CC"/>
            <w:kern w:val="0"/>
            <w:sz w:val="22"/>
            <w:szCs w:val="22"/>
            <w:u w:val="single"/>
            <w:lang w:eastAsia="es-UY"/>
            <w14:ligatures w14:val="none"/>
          </w:rPr>
          <w:t>papernest.es</w:t>
        </w:r>
      </w:hyperlink>
    </w:p>
    <w:p w14:paraId="13976586" w14:textId="77777777" w:rsidR="005C2FAE" w:rsidRPr="005C2FAE" w:rsidRDefault="005C2FAE" w:rsidP="005C2FAE">
      <w:pPr>
        <w:shd w:val="clear" w:color="auto" w:fill="FFFFFF"/>
        <w:spacing w:after="0" w:line="240" w:lineRule="auto"/>
        <w:jc w:val="both"/>
        <w:rPr>
          <w:rFonts w:ascii="Arial" w:eastAsia="Times New Roman" w:hAnsi="Arial" w:cs="Arial"/>
          <w:color w:val="222222"/>
          <w:kern w:val="0"/>
          <w:lang w:eastAsia="es-UY"/>
          <w14:ligatures w14:val="none"/>
        </w:rPr>
      </w:pPr>
    </w:p>
    <w:p w14:paraId="321E6F27" w14:textId="77777777" w:rsidR="005C2FAE" w:rsidRPr="005C2FAE" w:rsidRDefault="005C2FAE" w:rsidP="005C2FAE">
      <w:pPr>
        <w:shd w:val="clear" w:color="auto" w:fill="FFFFFF"/>
        <w:spacing w:after="0" w:line="240" w:lineRule="auto"/>
        <w:jc w:val="both"/>
        <w:rPr>
          <w:rFonts w:ascii="Arial" w:eastAsia="Times New Roman" w:hAnsi="Arial" w:cs="Arial"/>
          <w:color w:val="222222"/>
          <w:kern w:val="0"/>
          <w:lang w:eastAsia="es-UY"/>
          <w14:ligatures w14:val="none"/>
        </w:rPr>
      </w:pPr>
      <w:r w:rsidRPr="005C2FAE">
        <w:rPr>
          <w:rFonts w:ascii="Arial" w:eastAsia="Times New Roman" w:hAnsi="Arial" w:cs="Arial"/>
          <w:b/>
          <w:bCs/>
          <w:color w:val="000000"/>
          <w:kern w:val="0"/>
          <w:sz w:val="20"/>
          <w:szCs w:val="20"/>
          <w:lang w:eastAsia="es-UY"/>
          <w14:ligatures w14:val="none"/>
        </w:rPr>
        <w:t>&gt;&gt;&gt;&gt;&gt;&gt;&gt;&gt;&gt;&gt;&gt;&gt;&gt;&gt;FIN DEL TEXTO</w:t>
      </w:r>
    </w:p>
    <w:p w14:paraId="72020012" w14:textId="77777777" w:rsidR="005C2FAE" w:rsidRDefault="005C2FAE"/>
    <w:sectPr w:rsidR="005C2FAE">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FAE"/>
    <w:rsid w:val="005A3BA0"/>
    <w:rsid w:val="005C2FAE"/>
    <w:rsid w:val="00904629"/>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6A39D"/>
  <w15:chartTrackingRefBased/>
  <w15:docId w15:val="{9F056A03-BD18-44BA-B4F9-B7E72D35C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C2FA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5C2FA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5C2FA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5C2FA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5C2FA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5C2FA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5C2FA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5C2FA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5C2FA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2FAE"/>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5C2FAE"/>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5C2FAE"/>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5C2FAE"/>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5C2FAE"/>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5C2FAE"/>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5C2FA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5C2FA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5C2FAE"/>
    <w:rPr>
      <w:rFonts w:eastAsiaTheme="majorEastAsia" w:cstheme="majorBidi"/>
      <w:color w:val="272727" w:themeColor="text1" w:themeTint="D8"/>
    </w:rPr>
  </w:style>
  <w:style w:type="paragraph" w:styleId="Ttulo">
    <w:name w:val="Title"/>
    <w:basedOn w:val="Normal"/>
    <w:next w:val="Normal"/>
    <w:link w:val="TtuloCar"/>
    <w:uiPriority w:val="10"/>
    <w:qFormat/>
    <w:rsid w:val="005C2F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5C2FA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5C2FA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5C2FA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5C2FAE"/>
    <w:pPr>
      <w:spacing w:before="160"/>
      <w:jc w:val="center"/>
    </w:pPr>
    <w:rPr>
      <w:i/>
      <w:iCs/>
      <w:color w:val="404040" w:themeColor="text1" w:themeTint="BF"/>
    </w:rPr>
  </w:style>
  <w:style w:type="character" w:customStyle="1" w:styleId="CitaCar">
    <w:name w:val="Cita Car"/>
    <w:basedOn w:val="Fuentedeprrafopredeter"/>
    <w:link w:val="Cita"/>
    <w:uiPriority w:val="29"/>
    <w:rsid w:val="005C2FAE"/>
    <w:rPr>
      <w:i/>
      <w:iCs/>
      <w:color w:val="404040" w:themeColor="text1" w:themeTint="BF"/>
    </w:rPr>
  </w:style>
  <w:style w:type="paragraph" w:styleId="Prrafodelista">
    <w:name w:val="List Paragraph"/>
    <w:basedOn w:val="Normal"/>
    <w:uiPriority w:val="34"/>
    <w:qFormat/>
    <w:rsid w:val="005C2FAE"/>
    <w:pPr>
      <w:ind w:left="720"/>
      <w:contextualSpacing/>
    </w:pPr>
  </w:style>
  <w:style w:type="character" w:styleId="nfasisintenso">
    <w:name w:val="Intense Emphasis"/>
    <w:basedOn w:val="Fuentedeprrafopredeter"/>
    <w:uiPriority w:val="21"/>
    <w:qFormat/>
    <w:rsid w:val="005C2FAE"/>
    <w:rPr>
      <w:i/>
      <w:iCs/>
      <w:color w:val="0F4761" w:themeColor="accent1" w:themeShade="BF"/>
    </w:rPr>
  </w:style>
  <w:style w:type="paragraph" w:styleId="Citadestacada">
    <w:name w:val="Intense Quote"/>
    <w:basedOn w:val="Normal"/>
    <w:next w:val="Normal"/>
    <w:link w:val="CitadestacadaCar"/>
    <w:uiPriority w:val="30"/>
    <w:qFormat/>
    <w:rsid w:val="005C2FA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5C2FAE"/>
    <w:rPr>
      <w:i/>
      <w:iCs/>
      <w:color w:val="0F4761" w:themeColor="accent1" w:themeShade="BF"/>
    </w:rPr>
  </w:style>
  <w:style w:type="character" w:styleId="Referenciaintensa">
    <w:name w:val="Intense Reference"/>
    <w:basedOn w:val="Fuentedeprrafopredeter"/>
    <w:uiPriority w:val="32"/>
    <w:qFormat/>
    <w:rsid w:val="005C2FA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pernest.es/info/placas-solares/" TargetMode="External"/><Relationship Id="rId3" Type="http://schemas.openxmlformats.org/officeDocument/2006/relationships/webSettings" Target="webSettings.xml"/><Relationship Id="rId7" Type="http://schemas.openxmlformats.org/officeDocument/2006/relationships/hyperlink" Target="https://www.papernest.es/info/placas-solares/instalac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apernest.es/info/placas-solares/" TargetMode="External"/><Relationship Id="rId11" Type="http://schemas.openxmlformats.org/officeDocument/2006/relationships/theme" Target="theme/theme1.xml"/><Relationship Id="rId5" Type="http://schemas.openxmlformats.org/officeDocument/2006/relationships/hyperlink" Target="https://www.papernest.es/" TargetMode="External"/><Relationship Id="rId10" Type="http://schemas.openxmlformats.org/officeDocument/2006/relationships/fontTable" Target="fontTable.xml"/><Relationship Id="rId4" Type="http://schemas.openxmlformats.org/officeDocument/2006/relationships/hyperlink" Target="https://www.papernest.es/info/huella-carbono/" TargetMode="External"/><Relationship Id="rId9" Type="http://schemas.openxmlformats.org/officeDocument/2006/relationships/hyperlink" Target="http://papernest.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708</Words>
  <Characters>3898</Characters>
  <Application>Microsoft Office Word</Application>
  <DocSecurity>0</DocSecurity>
  <Lines>32</Lines>
  <Paragraphs>9</Paragraphs>
  <ScaleCrop>false</ScaleCrop>
  <Company/>
  <LinksUpToDate>false</LinksUpToDate>
  <CharactersWithSpaces>4597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Oscar Elizalde</cp:lastModifiedBy>
  <cp:revision>2</cp:revision>
  <dcterms:created xsi:type="dcterms:W3CDTF">2026-07-16T13:03:00Z</dcterms:created>
  <dcterms:modified xsi:type="dcterms:W3CDTF">2026-07-21T18:31:00Z</dcterms:modified>
</cp:coreProperties>
</file>