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B1C075" w14:textId="36C1C37A" w:rsidR="00BD53F7" w:rsidRPr="00BD53F7" w:rsidRDefault="00BD53F7" w:rsidP="00BD53F7">
      <w:pPr>
        <w:pStyle w:val="NormalWeb"/>
        <w:shd w:val="clear" w:color="auto" w:fill="FFFFFF"/>
        <w:spacing w:before="0" w:beforeAutospacing="0" w:after="0" w:afterAutospacing="0"/>
        <w:jc w:val="both"/>
        <w:textAlignment w:val="baseline"/>
        <w:rPr>
          <w:rFonts w:ascii="inherit" w:hAnsi="inherit"/>
          <w:b/>
          <w:bCs/>
          <w:color w:val="676767"/>
          <w:sz w:val="28"/>
          <w:szCs w:val="28"/>
          <w:bdr w:val="none" w:sz="0" w:space="0" w:color="auto" w:frame="1"/>
        </w:rPr>
      </w:pPr>
      <w:r w:rsidRPr="00BD53F7">
        <w:rPr>
          <w:rFonts w:ascii="inherit" w:hAnsi="inherit"/>
          <w:b/>
          <w:bCs/>
          <w:color w:val="676767"/>
          <w:sz w:val="28"/>
          <w:szCs w:val="28"/>
          <w:bdr w:val="none" w:sz="0" w:space="0" w:color="auto" w:frame="1"/>
        </w:rPr>
        <w:t>OTROS CRUCES PARTICIPÓ EN LA ASAMBLEA GENERAL DE LA OEA</w:t>
      </w:r>
    </w:p>
    <w:p w14:paraId="50E525C9" w14:textId="77777777" w:rsidR="00BD53F7" w:rsidRDefault="00BD53F7" w:rsidP="00BD53F7">
      <w:pPr>
        <w:pStyle w:val="NormalWeb"/>
        <w:shd w:val="clear" w:color="auto" w:fill="FFFFFF"/>
        <w:spacing w:before="0" w:beforeAutospacing="0" w:after="0" w:afterAutospacing="0"/>
        <w:jc w:val="both"/>
        <w:textAlignment w:val="baseline"/>
        <w:rPr>
          <w:rFonts w:ascii="inherit" w:hAnsi="inherit"/>
          <w:color w:val="676767"/>
          <w:bdr w:val="none" w:sz="0" w:space="0" w:color="auto" w:frame="1"/>
        </w:rPr>
      </w:pPr>
    </w:p>
    <w:p w14:paraId="52127FEE" w14:textId="43312F02" w:rsidR="00BD53F7" w:rsidRDefault="00BD53F7" w:rsidP="00BD53F7">
      <w:pPr>
        <w:pStyle w:val="NormalWeb"/>
        <w:shd w:val="clear" w:color="auto" w:fill="FFFFFF"/>
        <w:spacing w:before="0" w:beforeAutospacing="0" w:after="0" w:afterAutospacing="0"/>
        <w:jc w:val="both"/>
        <w:textAlignment w:val="baseline"/>
        <w:rPr>
          <w:rFonts w:ascii="inherit" w:hAnsi="inherit"/>
          <w:color w:val="676767"/>
          <w:bdr w:val="none" w:sz="0" w:space="0" w:color="auto" w:frame="1"/>
        </w:rPr>
      </w:pPr>
      <w:r w:rsidRPr="00BD53F7">
        <w:rPr>
          <w:rFonts w:ascii="inherit" w:hAnsi="inherit"/>
          <w:color w:val="676767"/>
          <w:bdr w:val="none" w:sz="0" w:space="0" w:color="auto" w:frame="1"/>
        </w:rPr>
        <w:t>Del 22 al 24 de junio, Otros Cruces participó en la 56ª Asamblea General de la Organización de Estados Americano (OEA) y en actividades paralelas con organizaciones de la sociedad civil, espacio que cada año reúne a los Estados de las Américas y organizaciones sociales de la región para definir temas hemisféricos y adoptar resoluciones conjuntas.</w:t>
      </w:r>
    </w:p>
    <w:p w14:paraId="24E09997" w14:textId="77777777" w:rsidR="00BD53F7" w:rsidRPr="00BD53F7" w:rsidRDefault="00BD53F7" w:rsidP="00BD53F7">
      <w:pPr>
        <w:pStyle w:val="NormalWeb"/>
        <w:shd w:val="clear" w:color="auto" w:fill="FFFFFF"/>
        <w:spacing w:before="0" w:beforeAutospacing="0" w:after="0" w:afterAutospacing="0"/>
        <w:jc w:val="both"/>
        <w:textAlignment w:val="baseline"/>
        <w:rPr>
          <w:rFonts w:ascii="Roboto" w:hAnsi="Roboto"/>
          <w:color w:val="676767"/>
        </w:rPr>
      </w:pPr>
    </w:p>
    <w:p w14:paraId="2AC2B191" w14:textId="77777777" w:rsidR="00BD53F7" w:rsidRDefault="00BD53F7" w:rsidP="00BD53F7">
      <w:pPr>
        <w:pStyle w:val="NormalWeb"/>
        <w:shd w:val="clear" w:color="auto" w:fill="FFFFFF"/>
        <w:spacing w:before="0" w:beforeAutospacing="0" w:after="0" w:afterAutospacing="0"/>
        <w:jc w:val="both"/>
        <w:textAlignment w:val="baseline"/>
        <w:rPr>
          <w:rFonts w:ascii="inherit" w:hAnsi="inherit"/>
          <w:color w:val="676767"/>
          <w:bdr w:val="none" w:sz="0" w:space="0" w:color="auto" w:frame="1"/>
        </w:rPr>
      </w:pPr>
      <w:r w:rsidRPr="00BD53F7">
        <w:rPr>
          <w:rFonts w:ascii="inherit" w:hAnsi="inherit"/>
          <w:color w:val="676767"/>
          <w:bdr w:val="none" w:sz="0" w:space="0" w:color="auto" w:frame="1"/>
        </w:rPr>
        <w:t>El lunes 22, como parte de la Coalición Religiones, Creencias y Espiritualidades (RCE), participamos en el Diálogo de los Jefes de Delegación, el Secretario General Adjunto y los Representantes de la Sociedad Civil, los Trabajadores, el Sector Privado y otros Actores Sociales. Carla Angelini, representante de Católicas por el Derecho a Decidir en Brasil, presentó </w:t>
      </w:r>
      <w:hyperlink r:id="rId4" w:history="1">
        <w:r w:rsidRPr="00BD53F7">
          <w:rPr>
            <w:rStyle w:val="Hipervnculo"/>
            <w:rFonts w:ascii="inherit" w:hAnsi="inherit"/>
            <w:color w:val="246E8A"/>
            <w:u w:val="none"/>
            <w:bdr w:val="none" w:sz="0" w:space="0" w:color="auto" w:frame="1"/>
          </w:rPr>
          <w:t>nuestro posicionamiento</w:t>
        </w:r>
      </w:hyperlink>
      <w:r w:rsidRPr="00BD53F7">
        <w:rPr>
          <w:rFonts w:ascii="inherit" w:hAnsi="inherit"/>
          <w:color w:val="676767"/>
          <w:bdr w:val="none" w:sz="0" w:space="0" w:color="auto" w:frame="1"/>
        </w:rPr>
        <w:t>, denunciando el cierre del espacio cívico, la militarización y la criminalización de la protesta, y llamando a garantizar la laicidad de los Estados frente al preocupante crecimiento del uso político de la religión en narrativas de tomadores de decisión. Uno de los hechos que empañó este encuentro fue la participación cada vez más reducida de la sociedad civil, lo cual se reflejó en nuevos  obstáculos que se han presentado, como la falta de recursos y el requerimiento de documentación jurídica, reto que afecta particularmente a organizaciones indígenas y afrodescendientes. </w:t>
      </w:r>
    </w:p>
    <w:p w14:paraId="2263A2AB" w14:textId="77777777" w:rsidR="00BD53F7" w:rsidRPr="00BD53F7" w:rsidRDefault="00BD53F7" w:rsidP="00BD53F7">
      <w:pPr>
        <w:pStyle w:val="NormalWeb"/>
        <w:shd w:val="clear" w:color="auto" w:fill="FFFFFF"/>
        <w:spacing w:before="0" w:beforeAutospacing="0" w:after="0" w:afterAutospacing="0"/>
        <w:jc w:val="both"/>
        <w:textAlignment w:val="baseline"/>
        <w:rPr>
          <w:rFonts w:ascii="Roboto" w:hAnsi="Roboto"/>
          <w:color w:val="676767"/>
        </w:rPr>
      </w:pPr>
    </w:p>
    <w:p w14:paraId="0A22D4EE" w14:textId="77777777" w:rsidR="00BD53F7" w:rsidRDefault="00BD53F7" w:rsidP="00BD53F7">
      <w:pPr>
        <w:pStyle w:val="NormalWeb"/>
        <w:shd w:val="clear" w:color="auto" w:fill="FFFFFF"/>
        <w:spacing w:before="0" w:beforeAutospacing="0" w:after="0" w:afterAutospacing="0"/>
        <w:textAlignment w:val="baseline"/>
        <w:rPr>
          <w:rFonts w:ascii="Roboto" w:hAnsi="Roboto"/>
          <w:color w:val="676767"/>
          <w:sz w:val="23"/>
          <w:szCs w:val="23"/>
        </w:rPr>
      </w:pPr>
      <w:r>
        <w:rPr>
          <w:rFonts w:ascii="Roboto" w:hAnsi="Roboto"/>
          <w:noProof/>
          <w:color w:val="246E8A"/>
          <w:sz w:val="23"/>
          <w:szCs w:val="23"/>
          <w:bdr w:val="none" w:sz="0" w:space="0" w:color="auto" w:frame="1"/>
        </w:rPr>
        <w:drawing>
          <wp:inline distT="0" distB="0" distL="0" distR="0" wp14:anchorId="68801158" wp14:editId="627E2336">
            <wp:extent cx="5562437" cy="3715534"/>
            <wp:effectExtent l="0" t="0" r="635" b="0"/>
            <wp:docPr id="1" name="Imagen 2" descr="DSC_7280">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C_7280">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579287" cy="3726790"/>
                    </a:xfrm>
                    <a:prstGeom prst="rect">
                      <a:avLst/>
                    </a:prstGeom>
                    <a:noFill/>
                    <a:ln>
                      <a:noFill/>
                    </a:ln>
                  </pic:spPr>
                </pic:pic>
              </a:graphicData>
            </a:graphic>
          </wp:inline>
        </w:drawing>
      </w:r>
    </w:p>
    <w:p w14:paraId="165B4B11" w14:textId="77777777" w:rsidR="00BD53F7" w:rsidRDefault="00BD53F7" w:rsidP="00BD53F7">
      <w:pPr>
        <w:pStyle w:val="NormalWeb"/>
        <w:shd w:val="clear" w:color="auto" w:fill="FFFFFF"/>
        <w:spacing w:before="0" w:beforeAutospacing="0" w:after="0" w:afterAutospacing="0"/>
        <w:jc w:val="both"/>
        <w:textAlignment w:val="baseline"/>
        <w:rPr>
          <w:rFonts w:ascii="inherit" w:hAnsi="inherit"/>
          <w:color w:val="676767"/>
          <w:sz w:val="23"/>
          <w:szCs w:val="23"/>
          <w:bdr w:val="none" w:sz="0" w:space="0" w:color="auto" w:frame="1"/>
        </w:rPr>
      </w:pPr>
    </w:p>
    <w:p w14:paraId="754F6C59" w14:textId="6364353D" w:rsidR="00BD53F7" w:rsidRDefault="00BD53F7" w:rsidP="00BD53F7">
      <w:pPr>
        <w:pStyle w:val="NormalWeb"/>
        <w:shd w:val="clear" w:color="auto" w:fill="FFFFFF"/>
        <w:spacing w:before="0" w:beforeAutospacing="0" w:after="0" w:afterAutospacing="0"/>
        <w:jc w:val="both"/>
        <w:textAlignment w:val="baseline"/>
        <w:rPr>
          <w:rFonts w:ascii="Roboto" w:hAnsi="Roboto"/>
          <w:color w:val="676767"/>
          <w:sz w:val="23"/>
          <w:szCs w:val="23"/>
        </w:rPr>
      </w:pPr>
      <w:r>
        <w:rPr>
          <w:rFonts w:ascii="inherit" w:hAnsi="inherit"/>
          <w:color w:val="676767"/>
          <w:sz w:val="23"/>
          <w:szCs w:val="23"/>
          <w:bdr w:val="none" w:sz="0" w:space="0" w:color="auto" w:frame="1"/>
        </w:rPr>
        <w:t>A pesar de ello, tuvimos la posibilidad de organizar un espacio de diálogo  con representantes de varias coaliciones sobre el rumbo de la OEA y el Sistema Interamericano de Derechos Humanos. También nos reunimos como Coalición RCE para reflexionar sobre nuestra trayectoria y los desafíos frente al avance de políticas y discursos  regresivos en materia de derechos humanos y ambiente democrático.</w:t>
      </w:r>
    </w:p>
    <w:p w14:paraId="02FC93E3" w14:textId="77777777" w:rsidR="00BD53F7" w:rsidRDefault="00BD53F7" w:rsidP="00BD53F7">
      <w:pPr>
        <w:pStyle w:val="NormalWeb"/>
        <w:shd w:val="clear" w:color="auto" w:fill="FFFFFF"/>
        <w:spacing w:before="0" w:beforeAutospacing="0" w:after="0" w:afterAutospacing="0"/>
        <w:jc w:val="center"/>
        <w:textAlignment w:val="baseline"/>
        <w:rPr>
          <w:rFonts w:ascii="Roboto" w:hAnsi="Roboto"/>
          <w:color w:val="676767"/>
          <w:sz w:val="23"/>
          <w:szCs w:val="23"/>
        </w:rPr>
      </w:pPr>
      <w:r>
        <w:rPr>
          <w:rFonts w:ascii="Roboto" w:hAnsi="Roboto"/>
          <w:noProof/>
          <w:color w:val="246E8A"/>
          <w:sz w:val="23"/>
          <w:szCs w:val="23"/>
          <w:bdr w:val="none" w:sz="0" w:space="0" w:color="auto" w:frame="1"/>
        </w:rPr>
        <w:lastRenderedPageBreak/>
        <w:drawing>
          <wp:inline distT="0" distB="0" distL="0" distR="0" wp14:anchorId="1B2AFCB1" wp14:editId="67E3E4E5">
            <wp:extent cx="4710320" cy="3143281"/>
            <wp:effectExtent l="0" t="0" r="0" b="0"/>
            <wp:docPr id="2" name="Imagen 1" descr="DSC_7499">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SC_7499">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34925" cy="3159700"/>
                    </a:xfrm>
                    <a:prstGeom prst="rect">
                      <a:avLst/>
                    </a:prstGeom>
                    <a:noFill/>
                    <a:ln>
                      <a:noFill/>
                    </a:ln>
                  </pic:spPr>
                </pic:pic>
              </a:graphicData>
            </a:graphic>
          </wp:inline>
        </w:drawing>
      </w:r>
    </w:p>
    <w:p w14:paraId="65A01893" w14:textId="77777777" w:rsidR="00BD53F7" w:rsidRDefault="00BD53F7" w:rsidP="00BD53F7">
      <w:pPr>
        <w:pStyle w:val="NormalWeb"/>
        <w:shd w:val="clear" w:color="auto" w:fill="FFFFFF"/>
        <w:spacing w:before="0" w:beforeAutospacing="0" w:after="0" w:afterAutospacing="0"/>
        <w:jc w:val="both"/>
        <w:textAlignment w:val="baseline"/>
        <w:rPr>
          <w:rFonts w:ascii="inherit" w:hAnsi="inherit"/>
          <w:color w:val="676767"/>
          <w:bdr w:val="none" w:sz="0" w:space="0" w:color="auto" w:frame="1"/>
        </w:rPr>
      </w:pPr>
    </w:p>
    <w:p w14:paraId="2EC22131" w14:textId="0632CAF0" w:rsidR="00BD53F7" w:rsidRPr="00BD53F7" w:rsidRDefault="00BD53F7" w:rsidP="00BD53F7">
      <w:pPr>
        <w:pStyle w:val="NormalWeb"/>
        <w:shd w:val="clear" w:color="auto" w:fill="FFFFFF"/>
        <w:spacing w:before="0" w:beforeAutospacing="0" w:after="0" w:afterAutospacing="0"/>
        <w:jc w:val="both"/>
        <w:textAlignment w:val="baseline"/>
        <w:rPr>
          <w:rFonts w:ascii="Roboto" w:hAnsi="Roboto"/>
          <w:color w:val="676767"/>
        </w:rPr>
      </w:pPr>
      <w:r w:rsidRPr="00BD53F7">
        <w:rPr>
          <w:rFonts w:ascii="inherit" w:hAnsi="inherit"/>
          <w:color w:val="676767"/>
          <w:bdr w:val="none" w:sz="0" w:space="0" w:color="auto" w:frame="1"/>
        </w:rPr>
        <w:t>El 24 de junio, junto con ACT Alliance, FESUR y la Coalición RCE, realizamos el evento “No en nombre de la fe: religión, poder y democracia en las Américas”, donde se presentó el informe “</w:t>
      </w:r>
      <w:hyperlink r:id="rId9" w:history="1">
        <w:r w:rsidRPr="00BD53F7">
          <w:rPr>
            <w:rStyle w:val="Hipervnculo"/>
            <w:rFonts w:ascii="inherit" w:hAnsi="inherit"/>
            <w:color w:val="246E8A"/>
            <w:u w:val="none"/>
            <w:bdr w:val="none" w:sz="0" w:space="0" w:color="auto" w:frame="1"/>
          </w:rPr>
          <w:t>No en nombre de la fe: Fundamentalismos, regresión democrática y ataques a la justicia de género</w:t>
        </w:r>
      </w:hyperlink>
      <w:r w:rsidRPr="00BD53F7">
        <w:rPr>
          <w:rFonts w:ascii="inherit" w:hAnsi="inherit"/>
          <w:color w:val="676767"/>
          <w:bdr w:val="none" w:sz="0" w:space="0" w:color="auto" w:frame="1"/>
        </w:rPr>
        <w:t xml:space="preserve">”, el cual analiza la instrumentalización de la religión para fines políticos, con casos de Argentina, Brasil, Colombia y Perú. Compartimos experiencias de fe liberadoras, como la del pueblo Guna </w:t>
      </w:r>
      <w:proofErr w:type="spellStart"/>
      <w:r w:rsidRPr="00BD53F7">
        <w:rPr>
          <w:rFonts w:ascii="inherit" w:hAnsi="inherit"/>
          <w:color w:val="676767"/>
          <w:bdr w:val="none" w:sz="0" w:space="0" w:color="auto" w:frame="1"/>
        </w:rPr>
        <w:t>Dule</w:t>
      </w:r>
      <w:proofErr w:type="spellEnd"/>
      <w:r w:rsidRPr="00BD53F7">
        <w:rPr>
          <w:rFonts w:ascii="inherit" w:hAnsi="inherit"/>
          <w:color w:val="676767"/>
          <w:bdr w:val="none" w:sz="0" w:space="0" w:color="auto" w:frame="1"/>
        </w:rPr>
        <w:t xml:space="preserve"> y la Red Ecuatoriana de Fe, y nuestra apuesta como Otros Cruces por nuevas narrativas frente a los fundamentalismos. </w:t>
      </w:r>
      <w:proofErr w:type="spellStart"/>
      <w:r w:rsidRPr="00BD53F7">
        <w:rPr>
          <w:rFonts w:ascii="inherit" w:hAnsi="inherit"/>
          <w:color w:val="676767"/>
          <w:bdr w:val="none" w:sz="0" w:space="0" w:color="auto" w:frame="1"/>
        </w:rPr>
        <w:t>Sentiido</w:t>
      </w:r>
      <w:proofErr w:type="spellEnd"/>
      <w:r w:rsidRPr="00BD53F7">
        <w:rPr>
          <w:rFonts w:ascii="inherit" w:hAnsi="inherit"/>
          <w:color w:val="676767"/>
          <w:bdr w:val="none" w:sz="0" w:space="0" w:color="auto" w:frame="1"/>
        </w:rPr>
        <w:t>, organización colombiana enfocada en comunicación estratégica, aportó herramientas para transmitir un encuadre de  derechos humanos de forma cotidiana y efectiva. Cerramos con una </w:t>
      </w:r>
      <w:hyperlink r:id="rId10" w:history="1">
        <w:r w:rsidRPr="00BD53F7">
          <w:rPr>
            <w:rStyle w:val="Hipervnculo"/>
            <w:rFonts w:ascii="inherit" w:hAnsi="inherit"/>
            <w:color w:val="246E8A"/>
            <w:u w:val="none"/>
            <w:bdr w:val="none" w:sz="0" w:space="0" w:color="auto" w:frame="1"/>
          </w:rPr>
          <w:t>declaración conjunta</w:t>
        </w:r>
      </w:hyperlink>
      <w:r w:rsidRPr="00BD53F7">
        <w:rPr>
          <w:rFonts w:ascii="inherit" w:hAnsi="inherit"/>
          <w:color w:val="676767"/>
          <w:bdr w:val="none" w:sz="0" w:space="0" w:color="auto" w:frame="1"/>
        </w:rPr>
        <w:t> que hace un llamado a defender la democracia, el Estado laico y el multilateralismo.</w:t>
      </w:r>
    </w:p>
    <w:p w14:paraId="38477133" w14:textId="650F0F46" w:rsidR="00BD53F7" w:rsidRDefault="00BD53F7" w:rsidP="00BD53F7">
      <w:pPr>
        <w:jc w:val="center"/>
      </w:pPr>
      <w:r>
        <w:rPr>
          <w:noProof/>
        </w:rPr>
        <w:drawing>
          <wp:inline distT="0" distB="0" distL="0" distR="0" wp14:anchorId="0DC9D117" wp14:editId="001EA9E7">
            <wp:extent cx="3390900" cy="2263249"/>
            <wp:effectExtent l="0" t="0" r="0" b="3810"/>
            <wp:docPr id="4"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01579" cy="2270376"/>
                    </a:xfrm>
                    <a:prstGeom prst="rect">
                      <a:avLst/>
                    </a:prstGeom>
                    <a:noFill/>
                    <a:ln>
                      <a:noFill/>
                    </a:ln>
                  </pic:spPr>
                </pic:pic>
              </a:graphicData>
            </a:graphic>
          </wp:inline>
        </w:drawing>
      </w:r>
    </w:p>
    <w:p w14:paraId="438E5C18" w14:textId="37BC4D86" w:rsidR="00BD53F7" w:rsidRPr="00BD53F7" w:rsidRDefault="00BD53F7" w:rsidP="00BD53F7">
      <w:pPr>
        <w:jc w:val="center"/>
        <w:rPr>
          <w:sz w:val="20"/>
          <w:szCs w:val="20"/>
        </w:rPr>
      </w:pPr>
      <w:hyperlink r:id="rId12" w:history="1">
        <w:r w:rsidRPr="00BD53F7">
          <w:rPr>
            <w:rStyle w:val="Hipervnculo"/>
            <w:sz w:val="20"/>
            <w:szCs w:val="20"/>
          </w:rPr>
          <w:t>https://otroscruces.org/otros-cruces-participo-de-la-56a-asamblea-general-de-la-oea/?utm_source=brevo&amp;utm_medium=email&amp;utm_campaign=AG%20OEA%202026</w:t>
        </w:r>
      </w:hyperlink>
    </w:p>
    <w:p w14:paraId="01B0FD64" w14:textId="77777777" w:rsidR="00BD53F7" w:rsidRPr="00BD53F7" w:rsidRDefault="00BD53F7" w:rsidP="00BD53F7">
      <w:pPr>
        <w:jc w:val="center"/>
      </w:pPr>
    </w:p>
    <w:sectPr w:rsidR="00BD53F7" w:rsidRPr="00BD53F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inherit">
    <w:altName w:val="Cambria"/>
    <w:panose1 w:val="00000000000000000000"/>
    <w:charset w:val="00"/>
    <w:family w:val="roman"/>
    <w:notTrueType/>
    <w:pitch w:val="default"/>
  </w:font>
  <w:font w:name="Roboto">
    <w:charset w:val="00"/>
    <w:family w:val="auto"/>
    <w:pitch w:val="variable"/>
    <w:sig w:usb0="E0000AFF" w:usb1="5000217F" w:usb2="0000002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53F7"/>
    <w:rsid w:val="00010EB1"/>
    <w:rsid w:val="00BD53F7"/>
  </w:rsids>
  <m:mathPr>
    <m:mathFont m:val="Cambria Math"/>
    <m:brkBin m:val="before"/>
    <m:brkBinSub m:val="--"/>
    <m:smallFrac m:val="0"/>
    <m:dispDef/>
    <m:lMargin m:val="0"/>
    <m:rMargin m:val="0"/>
    <m:defJc m:val="centerGroup"/>
    <m:wrapIndent m:val="1440"/>
    <m:intLim m:val="subSup"/>
    <m:naryLim m:val="undOvr"/>
  </m:mathPr>
  <w:themeFontLang w:val="es-U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FDB8BD"/>
  <w15:chartTrackingRefBased/>
  <w15:docId w15:val="{D18C4BC0-9E1F-4274-B180-6044971C0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UY"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BD53F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BD53F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BD53F7"/>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BD53F7"/>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BD53F7"/>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BD53F7"/>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BD53F7"/>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BD53F7"/>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BD53F7"/>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D53F7"/>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BD53F7"/>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BD53F7"/>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BD53F7"/>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BD53F7"/>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BD53F7"/>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BD53F7"/>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BD53F7"/>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BD53F7"/>
    <w:rPr>
      <w:rFonts w:eastAsiaTheme="majorEastAsia" w:cstheme="majorBidi"/>
      <w:color w:val="272727" w:themeColor="text1" w:themeTint="D8"/>
    </w:rPr>
  </w:style>
  <w:style w:type="paragraph" w:styleId="Ttulo">
    <w:name w:val="Title"/>
    <w:basedOn w:val="Normal"/>
    <w:next w:val="Normal"/>
    <w:link w:val="TtuloCar"/>
    <w:uiPriority w:val="10"/>
    <w:qFormat/>
    <w:rsid w:val="00BD53F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BD53F7"/>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BD53F7"/>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BD53F7"/>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BD53F7"/>
    <w:pPr>
      <w:spacing w:before="160"/>
      <w:jc w:val="center"/>
    </w:pPr>
    <w:rPr>
      <w:i/>
      <w:iCs/>
      <w:color w:val="404040" w:themeColor="text1" w:themeTint="BF"/>
    </w:rPr>
  </w:style>
  <w:style w:type="character" w:customStyle="1" w:styleId="CitaCar">
    <w:name w:val="Cita Car"/>
    <w:basedOn w:val="Fuentedeprrafopredeter"/>
    <w:link w:val="Cita"/>
    <w:uiPriority w:val="29"/>
    <w:rsid w:val="00BD53F7"/>
    <w:rPr>
      <w:i/>
      <w:iCs/>
      <w:color w:val="404040" w:themeColor="text1" w:themeTint="BF"/>
    </w:rPr>
  </w:style>
  <w:style w:type="paragraph" w:styleId="Prrafodelista">
    <w:name w:val="List Paragraph"/>
    <w:basedOn w:val="Normal"/>
    <w:uiPriority w:val="34"/>
    <w:qFormat/>
    <w:rsid w:val="00BD53F7"/>
    <w:pPr>
      <w:ind w:left="720"/>
      <w:contextualSpacing/>
    </w:pPr>
  </w:style>
  <w:style w:type="character" w:styleId="nfasisintenso">
    <w:name w:val="Intense Emphasis"/>
    <w:basedOn w:val="Fuentedeprrafopredeter"/>
    <w:uiPriority w:val="21"/>
    <w:qFormat/>
    <w:rsid w:val="00BD53F7"/>
    <w:rPr>
      <w:i/>
      <w:iCs/>
      <w:color w:val="0F4761" w:themeColor="accent1" w:themeShade="BF"/>
    </w:rPr>
  </w:style>
  <w:style w:type="paragraph" w:styleId="Citadestacada">
    <w:name w:val="Intense Quote"/>
    <w:basedOn w:val="Normal"/>
    <w:next w:val="Normal"/>
    <w:link w:val="CitadestacadaCar"/>
    <w:uiPriority w:val="30"/>
    <w:qFormat/>
    <w:rsid w:val="00BD53F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BD53F7"/>
    <w:rPr>
      <w:i/>
      <w:iCs/>
      <w:color w:val="0F4761" w:themeColor="accent1" w:themeShade="BF"/>
    </w:rPr>
  </w:style>
  <w:style w:type="character" w:styleId="Referenciaintensa">
    <w:name w:val="Intense Reference"/>
    <w:basedOn w:val="Fuentedeprrafopredeter"/>
    <w:uiPriority w:val="32"/>
    <w:qFormat/>
    <w:rsid w:val="00BD53F7"/>
    <w:rPr>
      <w:b/>
      <w:bCs/>
      <w:smallCaps/>
      <w:color w:val="0F4761" w:themeColor="accent1" w:themeShade="BF"/>
      <w:spacing w:val="5"/>
    </w:rPr>
  </w:style>
  <w:style w:type="paragraph" w:styleId="NormalWeb">
    <w:name w:val="Normal (Web)"/>
    <w:basedOn w:val="Normal"/>
    <w:uiPriority w:val="99"/>
    <w:semiHidden/>
    <w:unhideWhenUsed/>
    <w:rsid w:val="00BD53F7"/>
    <w:pPr>
      <w:spacing w:before="100" w:beforeAutospacing="1" w:after="100" w:afterAutospacing="1" w:line="240" w:lineRule="auto"/>
    </w:pPr>
    <w:rPr>
      <w:rFonts w:ascii="Times New Roman" w:eastAsia="Times New Roman" w:hAnsi="Times New Roman" w:cs="Times New Roman"/>
      <w:kern w:val="0"/>
      <w:lang w:eastAsia="es-UY"/>
      <w14:ligatures w14:val="none"/>
    </w:rPr>
  </w:style>
  <w:style w:type="character" w:styleId="Hipervnculo">
    <w:name w:val="Hyperlink"/>
    <w:basedOn w:val="Fuentedeprrafopredeter"/>
    <w:uiPriority w:val="99"/>
    <w:unhideWhenUsed/>
    <w:rsid w:val="00BD53F7"/>
    <w:rPr>
      <w:color w:val="0000FF"/>
      <w:u w:val="single"/>
    </w:rPr>
  </w:style>
  <w:style w:type="character" w:styleId="Mencinsinresolver">
    <w:name w:val="Unresolved Mention"/>
    <w:basedOn w:val="Fuentedeprrafopredeter"/>
    <w:uiPriority w:val="99"/>
    <w:semiHidden/>
    <w:unhideWhenUsed/>
    <w:rsid w:val="00BD53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otroscruces.org/wp-content/uploads/2026/07/DSC_7499-scaled.jpg" TargetMode="External"/><Relationship Id="rId12" Type="http://schemas.openxmlformats.org/officeDocument/2006/relationships/hyperlink" Target="https://otroscruces.org/otros-cruces-participo-de-la-56a-asamblea-general-de-la-oea/?utm_source=brevo&amp;utm_medium=email&amp;utm_campaign=AG%20OEA%202026"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3.jpeg"/><Relationship Id="rId5" Type="http://schemas.openxmlformats.org/officeDocument/2006/relationships/hyperlink" Target="https://otroscruces.org/wp-content/uploads/2026/07/DSC_7280-scaled.jpg" TargetMode="External"/><Relationship Id="rId10" Type="http://schemas.openxmlformats.org/officeDocument/2006/relationships/hyperlink" Target="https://otroscruces.org/declaracion-panama-esp/" TargetMode="External"/><Relationship Id="rId4" Type="http://schemas.openxmlformats.org/officeDocument/2006/relationships/hyperlink" Target="https://www.instagram.com/reel/DZ8NTN5St8e/?igsh=Y3BwcDVud3p0ejRs" TargetMode="External"/><Relationship Id="rId9" Type="http://schemas.openxmlformats.org/officeDocument/2006/relationships/hyperlink" Target="https://actalliance.org/wp-content/uploads/2026/05/Informe-v.FinalES.pdf" TargetMode="Externa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496</Words>
  <Characters>2729</Characters>
  <Application>Microsoft Office Word</Application>
  <DocSecurity>0</DocSecurity>
  <Lines>22</Lines>
  <Paragraphs>6</Paragraphs>
  <ScaleCrop>false</ScaleCrop>
  <Company/>
  <LinksUpToDate>false</LinksUpToDate>
  <CharactersWithSpaces>3219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Rosario Hermano</dc:creator>
  <cp:keywords/>
  <dc:description/>
  <cp:lastModifiedBy>Rosario Hermano</cp:lastModifiedBy>
  <cp:revision>1</cp:revision>
  <dcterms:created xsi:type="dcterms:W3CDTF">2026-08-05T14:05:00Z</dcterms:created>
  <dcterms:modified xsi:type="dcterms:W3CDTF">2026-08-05T14:08:00Z</dcterms:modified>
</cp:coreProperties>
</file>