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EB8F1" w14:textId="77777777" w:rsidR="001C207B" w:rsidRPr="001C207B" w:rsidRDefault="001C207B" w:rsidP="001C207B">
      <w:pPr>
        <w:spacing w:before="480" w:after="120" w:line="240" w:lineRule="auto"/>
        <w:jc w:val="both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shd w:val="clear" w:color="auto" w:fill="FFFFFF"/>
          <w:lang w:eastAsia="es-UY"/>
          <w14:ligatures w14:val="none"/>
        </w:rPr>
      </w:pPr>
      <w:r w:rsidRPr="001C207B">
        <w:rPr>
          <w:rFonts w:ascii="Arial" w:eastAsia="Times New Roman" w:hAnsi="Arial" w:cs="Arial"/>
          <w:b/>
          <w:bCs/>
          <w:color w:val="000000"/>
          <w:kern w:val="36"/>
          <w:sz w:val="46"/>
          <w:szCs w:val="46"/>
          <w:lang w:eastAsia="es-UY"/>
          <w14:ligatures w14:val="none"/>
        </w:rPr>
        <w:t>La sequía en el Danubio y las medusas colapsan la generación nuclear en Europa</w:t>
      </w:r>
    </w:p>
    <w:p w14:paraId="52D9E797" w14:textId="77777777" w:rsidR="001C207B" w:rsidRPr="001C207B" w:rsidRDefault="001C207B" w:rsidP="001C207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222222"/>
          <w:kern w:val="0"/>
          <w:lang w:eastAsia="es-UY"/>
          <w14:ligatures w14:val="none"/>
        </w:rPr>
      </w:pPr>
      <w:r w:rsidRPr="001C207B">
        <w:rPr>
          <w:rFonts w:ascii="Arial" w:eastAsia="Times New Roman" w:hAnsi="Arial" w:cs="Arial"/>
          <w:color w:val="000000"/>
          <w:kern w:val="0"/>
          <w:sz w:val="20"/>
          <w:szCs w:val="20"/>
          <w:lang w:eastAsia="es-UY"/>
          <w14:ligatures w14:val="none"/>
        </w:rPr>
        <w:t xml:space="preserve">Una combinación de </w:t>
      </w:r>
      <w:r w:rsidRPr="001C207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s-UY"/>
          <w14:ligatures w14:val="none"/>
        </w:rPr>
        <w:t>sequías extremas y fenómenos biológicos</w:t>
      </w:r>
      <w:r w:rsidRPr="001C207B">
        <w:rPr>
          <w:rFonts w:ascii="Arial" w:eastAsia="Times New Roman" w:hAnsi="Arial" w:cs="Arial"/>
          <w:color w:val="000000"/>
          <w:kern w:val="0"/>
          <w:sz w:val="20"/>
          <w:szCs w:val="20"/>
          <w:lang w:eastAsia="es-UY"/>
          <w14:ligatures w14:val="none"/>
        </w:rPr>
        <w:t xml:space="preserve"> paraliza la generación eléctrica en Europa. En la planta francesa de </w:t>
      </w:r>
      <w:proofErr w:type="spellStart"/>
      <w:r w:rsidRPr="001C207B">
        <w:rPr>
          <w:rFonts w:ascii="Arial" w:eastAsia="Times New Roman" w:hAnsi="Arial" w:cs="Arial"/>
          <w:color w:val="000000"/>
          <w:kern w:val="0"/>
          <w:sz w:val="20"/>
          <w:szCs w:val="20"/>
          <w:lang w:eastAsia="es-UY"/>
          <w14:ligatures w14:val="none"/>
        </w:rPr>
        <w:t>Gravelines</w:t>
      </w:r>
      <w:proofErr w:type="spellEnd"/>
      <w:r w:rsidRPr="001C207B">
        <w:rPr>
          <w:rFonts w:ascii="Arial" w:eastAsia="Times New Roman" w:hAnsi="Arial" w:cs="Arial"/>
          <w:color w:val="000000"/>
          <w:kern w:val="0"/>
          <w:sz w:val="20"/>
          <w:szCs w:val="20"/>
          <w:lang w:eastAsia="es-UY"/>
          <w14:ligatures w14:val="none"/>
        </w:rPr>
        <w:t xml:space="preserve">, decenas de toneladas de medusas colapsaron las estaciones de bombeo de agua marina empleadas para la refrigeración, </w:t>
      </w:r>
      <w:r w:rsidRPr="001C207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s-UY"/>
          <w14:ligatures w14:val="none"/>
        </w:rPr>
        <w:t>obligando a detener tres de sus reactores</w:t>
      </w:r>
      <w:r w:rsidRPr="001C207B">
        <w:rPr>
          <w:rFonts w:ascii="Arial" w:eastAsia="Times New Roman" w:hAnsi="Arial" w:cs="Arial"/>
          <w:color w:val="000000"/>
          <w:kern w:val="0"/>
          <w:sz w:val="20"/>
          <w:szCs w:val="20"/>
          <w:lang w:eastAsia="es-UY"/>
          <w14:ligatures w14:val="none"/>
        </w:rPr>
        <w:t xml:space="preserve"> y reducir al 50% la potencia de un cuarto. Paralelamente, el </w:t>
      </w:r>
      <w:r w:rsidRPr="001C207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s-UY"/>
          <w14:ligatures w14:val="none"/>
        </w:rPr>
        <w:t>río Danubio ha caído a mínimos históricos</w:t>
      </w:r>
      <w:r w:rsidRPr="001C207B">
        <w:rPr>
          <w:rFonts w:ascii="Arial" w:eastAsia="Times New Roman" w:hAnsi="Arial" w:cs="Arial"/>
          <w:color w:val="000000"/>
          <w:kern w:val="0"/>
          <w:sz w:val="20"/>
          <w:szCs w:val="20"/>
          <w:lang w:eastAsia="es-UY"/>
          <w14:ligatures w14:val="none"/>
        </w:rPr>
        <w:t xml:space="preserve"> por la falta de caudales y altas temperaturas, amenazando el abastecimiento atómico, la agricultura y el transporte fluvial en Europa central.</w:t>
      </w:r>
    </w:p>
    <w:p w14:paraId="0C96773B" w14:textId="77777777" w:rsidR="001C207B" w:rsidRPr="001C207B" w:rsidRDefault="001C207B" w:rsidP="001C207B">
      <w:pPr>
        <w:shd w:val="clear" w:color="auto" w:fill="FFFFFF"/>
        <w:spacing w:before="360" w:after="80" w:line="240" w:lineRule="auto"/>
        <w:jc w:val="both"/>
        <w:outlineLvl w:val="1"/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es-UY"/>
          <w14:ligatures w14:val="none"/>
        </w:rPr>
      </w:pPr>
      <w:r w:rsidRPr="001C207B">
        <w:rPr>
          <w:rFonts w:ascii="Arial" w:eastAsia="Times New Roman" w:hAnsi="Arial" w:cs="Arial"/>
          <w:b/>
          <w:bCs/>
          <w:color w:val="000000"/>
          <w:kern w:val="0"/>
          <w:sz w:val="34"/>
          <w:szCs w:val="34"/>
          <w:lang w:eastAsia="es-UY"/>
          <w14:ligatures w14:val="none"/>
        </w:rPr>
        <w:t xml:space="preserve">La plaga de medusas paraliza la central de </w:t>
      </w:r>
      <w:proofErr w:type="spellStart"/>
      <w:r w:rsidRPr="001C207B">
        <w:rPr>
          <w:rFonts w:ascii="Arial" w:eastAsia="Times New Roman" w:hAnsi="Arial" w:cs="Arial"/>
          <w:b/>
          <w:bCs/>
          <w:color w:val="000000"/>
          <w:kern w:val="0"/>
          <w:sz w:val="34"/>
          <w:szCs w:val="34"/>
          <w:lang w:eastAsia="es-UY"/>
          <w14:ligatures w14:val="none"/>
        </w:rPr>
        <w:t>Gravelines</w:t>
      </w:r>
      <w:proofErr w:type="spellEnd"/>
      <w:r w:rsidRPr="001C207B">
        <w:rPr>
          <w:rFonts w:ascii="Arial" w:eastAsia="Times New Roman" w:hAnsi="Arial" w:cs="Arial"/>
          <w:b/>
          <w:bCs/>
          <w:color w:val="000000"/>
          <w:kern w:val="0"/>
          <w:sz w:val="34"/>
          <w:szCs w:val="34"/>
          <w:lang w:eastAsia="es-UY"/>
          <w14:ligatures w14:val="none"/>
        </w:rPr>
        <w:t xml:space="preserve"> en Francia</w:t>
      </w:r>
    </w:p>
    <w:p w14:paraId="0368D114" w14:textId="77777777" w:rsidR="001C207B" w:rsidRPr="001C207B" w:rsidRDefault="001C207B" w:rsidP="001C207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222222"/>
          <w:kern w:val="0"/>
          <w:lang w:eastAsia="es-UY"/>
          <w14:ligatures w14:val="none"/>
        </w:rPr>
      </w:pPr>
      <w:r w:rsidRPr="001C207B">
        <w:rPr>
          <w:rFonts w:ascii="Arial" w:eastAsia="Times New Roman" w:hAnsi="Arial" w:cs="Arial"/>
          <w:color w:val="000000"/>
          <w:kern w:val="0"/>
          <w:sz w:val="20"/>
          <w:szCs w:val="20"/>
          <w:lang w:eastAsia="es-UY"/>
          <w14:ligatures w14:val="none"/>
        </w:rPr>
        <w:t xml:space="preserve">La incursión masiva de decenas de toneladas de medusas inutilizó rejas y tambores de filtrado en las estaciones de bombeo de </w:t>
      </w:r>
      <w:proofErr w:type="spellStart"/>
      <w:r w:rsidRPr="001C207B">
        <w:rPr>
          <w:rFonts w:ascii="Arial" w:eastAsia="Times New Roman" w:hAnsi="Arial" w:cs="Arial"/>
          <w:color w:val="000000"/>
          <w:kern w:val="0"/>
          <w:sz w:val="20"/>
          <w:szCs w:val="20"/>
          <w:lang w:eastAsia="es-UY"/>
          <w14:ligatures w14:val="none"/>
        </w:rPr>
        <w:t>Gravelines</w:t>
      </w:r>
      <w:proofErr w:type="spellEnd"/>
      <w:r w:rsidRPr="001C207B">
        <w:rPr>
          <w:rFonts w:ascii="Arial" w:eastAsia="Times New Roman" w:hAnsi="Arial" w:cs="Arial"/>
          <w:color w:val="000000"/>
          <w:kern w:val="0"/>
          <w:sz w:val="20"/>
          <w:szCs w:val="20"/>
          <w:lang w:eastAsia="es-UY"/>
          <w14:ligatures w14:val="none"/>
        </w:rPr>
        <w:t xml:space="preserve">, requiriendo embarcaciones pesqueras para retirar los organismos y evitar un fallo sistémico. El parón de tres reactores y el recorte al 50% de la unidad 1 </w:t>
      </w:r>
      <w:r w:rsidRPr="001C207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s-UY"/>
          <w14:ligatures w14:val="none"/>
        </w:rPr>
        <w:t>restringe la disponibilidad de potencia de base</w:t>
      </w:r>
      <w:r w:rsidRPr="001C207B">
        <w:rPr>
          <w:rFonts w:ascii="Arial" w:eastAsia="Times New Roman" w:hAnsi="Arial" w:cs="Arial"/>
          <w:color w:val="000000"/>
          <w:kern w:val="0"/>
          <w:sz w:val="20"/>
          <w:szCs w:val="20"/>
          <w:lang w:eastAsia="es-UY"/>
          <w14:ligatures w14:val="none"/>
        </w:rPr>
        <w:t xml:space="preserve"> en un periodo estival de elevada demanda. Pese a la gravedad, EDF asegura que la seguridad no se vio comprometida. Sin embargo, el fenómeno obliga a considerar la sustitución por</w:t>
      </w:r>
      <w:hyperlink r:id="rId5" w:tgtFrame="_blank" w:history="1">
        <w:r w:rsidRPr="001C207B">
          <w:rPr>
            <w:rFonts w:ascii="Arial" w:eastAsia="Times New Roman" w:hAnsi="Arial" w:cs="Arial"/>
            <w:color w:val="000000"/>
            <w:kern w:val="0"/>
            <w:sz w:val="20"/>
            <w:szCs w:val="20"/>
            <w:lang w:eastAsia="es-UY"/>
            <w14:ligatures w14:val="none"/>
          </w:rPr>
          <w:t xml:space="preserve"> </w:t>
        </w:r>
        <w:r w:rsidRPr="001C207B">
          <w:rPr>
            <w:rFonts w:ascii="Arial" w:eastAsia="Times New Roman" w:hAnsi="Arial" w:cs="Arial"/>
            <w:color w:val="1155CC"/>
            <w:kern w:val="0"/>
            <w:sz w:val="20"/>
            <w:szCs w:val="20"/>
            <w:u w:val="single"/>
            <w:lang w:eastAsia="es-UY"/>
            <w14:ligatures w14:val="none"/>
          </w:rPr>
          <w:t>energías renovables</w:t>
        </w:r>
      </w:hyperlink>
      <w:r w:rsidRPr="001C207B">
        <w:rPr>
          <w:rFonts w:ascii="Arial" w:eastAsia="Times New Roman" w:hAnsi="Arial" w:cs="Arial"/>
          <w:color w:val="000000"/>
          <w:kern w:val="0"/>
          <w:sz w:val="20"/>
          <w:szCs w:val="20"/>
          <w:lang w:eastAsia="es-UY"/>
          <w14:ligatures w14:val="none"/>
        </w:rPr>
        <w:t xml:space="preserve"> para reducir la</w:t>
      </w:r>
      <w:hyperlink r:id="rId6" w:tgtFrame="_blank" w:history="1">
        <w:r w:rsidRPr="001C207B">
          <w:rPr>
            <w:rFonts w:ascii="Arial" w:eastAsia="Times New Roman" w:hAnsi="Arial" w:cs="Arial"/>
            <w:color w:val="000000"/>
            <w:kern w:val="0"/>
            <w:sz w:val="20"/>
            <w:szCs w:val="20"/>
            <w:lang w:eastAsia="es-UY"/>
            <w14:ligatures w14:val="none"/>
          </w:rPr>
          <w:t xml:space="preserve"> </w:t>
        </w:r>
        <w:r w:rsidRPr="001C207B">
          <w:rPr>
            <w:rFonts w:ascii="Arial" w:eastAsia="Times New Roman" w:hAnsi="Arial" w:cs="Arial"/>
            <w:color w:val="1155CC"/>
            <w:kern w:val="0"/>
            <w:sz w:val="20"/>
            <w:szCs w:val="20"/>
            <w:u w:val="single"/>
            <w:lang w:eastAsia="es-UY"/>
            <w14:ligatures w14:val="none"/>
          </w:rPr>
          <w:t>huella de carbono</w:t>
        </w:r>
      </w:hyperlink>
      <w:r w:rsidRPr="001C207B">
        <w:rPr>
          <w:rFonts w:ascii="Arial" w:eastAsia="Times New Roman" w:hAnsi="Arial" w:cs="Arial"/>
          <w:color w:val="000000"/>
          <w:kern w:val="0"/>
          <w:sz w:val="20"/>
          <w:szCs w:val="20"/>
          <w:lang w:eastAsia="es-UY"/>
          <w14:ligatures w14:val="none"/>
        </w:rPr>
        <w:t xml:space="preserve"> global.</w:t>
      </w:r>
    </w:p>
    <w:p w14:paraId="67299A0B" w14:textId="77777777" w:rsidR="001C207B" w:rsidRPr="001C207B" w:rsidRDefault="001C207B" w:rsidP="001C207B">
      <w:pPr>
        <w:shd w:val="clear" w:color="auto" w:fill="FFFFFF"/>
        <w:spacing w:before="360" w:after="80" w:line="240" w:lineRule="auto"/>
        <w:jc w:val="both"/>
        <w:outlineLvl w:val="1"/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es-UY"/>
          <w14:ligatures w14:val="none"/>
        </w:rPr>
      </w:pPr>
      <w:r w:rsidRPr="001C207B">
        <w:rPr>
          <w:rFonts w:ascii="Arial" w:eastAsia="Times New Roman" w:hAnsi="Arial" w:cs="Arial"/>
          <w:b/>
          <w:bCs/>
          <w:color w:val="000000"/>
          <w:kern w:val="0"/>
          <w:sz w:val="34"/>
          <w:szCs w:val="34"/>
          <w:lang w:eastAsia="es-UY"/>
          <w14:ligatures w14:val="none"/>
        </w:rPr>
        <w:t>La sequía en el Danubio asfixia a las centrales de Europa central</w:t>
      </w:r>
    </w:p>
    <w:p w14:paraId="42079786" w14:textId="77777777" w:rsidR="001C207B" w:rsidRPr="001C207B" w:rsidRDefault="001C207B" w:rsidP="001C207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222222"/>
          <w:kern w:val="0"/>
          <w:lang w:eastAsia="es-UY"/>
          <w14:ligatures w14:val="none"/>
        </w:rPr>
      </w:pPr>
      <w:r w:rsidRPr="001C207B">
        <w:rPr>
          <w:rFonts w:ascii="Arial" w:eastAsia="Times New Roman" w:hAnsi="Arial" w:cs="Arial"/>
          <w:color w:val="000000"/>
          <w:kern w:val="0"/>
          <w:sz w:val="20"/>
          <w:szCs w:val="20"/>
          <w:lang w:eastAsia="es-UY"/>
          <w14:ligatures w14:val="none"/>
        </w:rPr>
        <w:t>El desplome del volumen de agua en el Danubio pone en jaque la infraestructura energética y logística regional:</w:t>
      </w:r>
    </w:p>
    <w:p w14:paraId="384CCF5D" w14:textId="77777777" w:rsidR="001C207B" w:rsidRPr="001C207B" w:rsidRDefault="001C207B" w:rsidP="001C207B">
      <w:pPr>
        <w:numPr>
          <w:ilvl w:val="0"/>
          <w:numId w:val="1"/>
        </w:numPr>
        <w:spacing w:before="240" w:after="0" w:line="240" w:lineRule="auto"/>
        <w:ind w:left="945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s-UY"/>
          <w14:ligatures w14:val="none"/>
        </w:rPr>
      </w:pPr>
      <w:r w:rsidRPr="001C207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s-UY"/>
          <w14:ligatures w14:val="none"/>
        </w:rPr>
        <w:t xml:space="preserve">Rumanía y la central de </w:t>
      </w:r>
      <w:proofErr w:type="spellStart"/>
      <w:r w:rsidRPr="001C207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s-UY"/>
          <w14:ligatures w14:val="none"/>
        </w:rPr>
        <w:t>Cernavoda</w:t>
      </w:r>
      <w:proofErr w:type="spellEnd"/>
      <w:r w:rsidRPr="001C207B">
        <w:rPr>
          <w:rFonts w:ascii="Arial" w:eastAsia="Times New Roman" w:hAnsi="Arial" w:cs="Arial"/>
          <w:color w:val="000000"/>
          <w:kern w:val="0"/>
          <w:sz w:val="20"/>
          <w:szCs w:val="20"/>
          <w:lang w:eastAsia="es-UY"/>
          <w14:ligatures w14:val="none"/>
        </w:rPr>
        <w:t>: El bajo nivel obligó a parar un reactor de esta planta, que aporta el 20% de la energía nacional, llevando al Ejército a realizar detonaciones controladas para desviar caudal hacia la instalación.</w:t>
      </w:r>
    </w:p>
    <w:p w14:paraId="75BBFAE6" w14:textId="77777777" w:rsidR="001C207B" w:rsidRPr="001C207B" w:rsidRDefault="001C207B" w:rsidP="001C207B">
      <w:pPr>
        <w:numPr>
          <w:ilvl w:val="0"/>
          <w:numId w:val="1"/>
        </w:numPr>
        <w:spacing w:after="0" w:line="240" w:lineRule="auto"/>
        <w:ind w:left="945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s-UY"/>
          <w14:ligatures w14:val="none"/>
        </w:rPr>
      </w:pPr>
      <w:r w:rsidRPr="001C207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s-UY"/>
          <w14:ligatures w14:val="none"/>
        </w:rPr>
        <w:t xml:space="preserve">Hungría y la instalación de </w:t>
      </w:r>
      <w:proofErr w:type="spellStart"/>
      <w:r w:rsidRPr="001C207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s-UY"/>
          <w14:ligatures w14:val="none"/>
        </w:rPr>
        <w:t>Paks</w:t>
      </w:r>
      <w:proofErr w:type="spellEnd"/>
      <w:r w:rsidRPr="001C207B">
        <w:rPr>
          <w:rFonts w:ascii="Arial" w:eastAsia="Times New Roman" w:hAnsi="Arial" w:cs="Arial"/>
          <w:color w:val="000000"/>
          <w:kern w:val="0"/>
          <w:sz w:val="20"/>
          <w:szCs w:val="20"/>
          <w:lang w:eastAsia="es-UY"/>
          <w14:ligatures w14:val="none"/>
        </w:rPr>
        <w:t>: La planta estuvo al borde del apagón total y se vio forzada a reducir la operación de sus cuatro reactores a una fracción mínima.</w:t>
      </w:r>
    </w:p>
    <w:p w14:paraId="47953AC5" w14:textId="77777777" w:rsidR="001C207B" w:rsidRPr="001C207B" w:rsidRDefault="001C207B" w:rsidP="001C207B">
      <w:pPr>
        <w:numPr>
          <w:ilvl w:val="0"/>
          <w:numId w:val="1"/>
        </w:numPr>
        <w:spacing w:after="240" w:line="240" w:lineRule="auto"/>
        <w:ind w:left="945"/>
        <w:jc w:val="both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:lang w:eastAsia="es-UY"/>
          <w14:ligatures w14:val="none"/>
        </w:rPr>
      </w:pPr>
      <w:r w:rsidRPr="001C207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s-UY"/>
          <w14:ligatures w14:val="none"/>
        </w:rPr>
        <w:t>Logística e hidroeléctrica</w:t>
      </w:r>
      <w:r w:rsidRPr="001C207B">
        <w:rPr>
          <w:rFonts w:ascii="Arial" w:eastAsia="Times New Roman" w:hAnsi="Arial" w:cs="Arial"/>
          <w:color w:val="000000"/>
          <w:kern w:val="0"/>
          <w:sz w:val="20"/>
          <w:szCs w:val="20"/>
          <w:lang w:eastAsia="es-UY"/>
          <w14:ligatures w14:val="none"/>
        </w:rPr>
        <w:t xml:space="preserve">: La falta de caudal </w:t>
      </w:r>
      <w:r w:rsidRPr="001C207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s-UY"/>
          <w14:ligatures w14:val="none"/>
        </w:rPr>
        <w:t>ha dejado varadas barcazas de mercancías</w:t>
      </w:r>
      <w:r w:rsidRPr="001C207B">
        <w:rPr>
          <w:rFonts w:ascii="Arial" w:eastAsia="Times New Roman" w:hAnsi="Arial" w:cs="Arial"/>
          <w:color w:val="000000"/>
          <w:kern w:val="0"/>
          <w:sz w:val="20"/>
          <w:szCs w:val="20"/>
          <w:lang w:eastAsia="es-UY"/>
          <w14:ligatures w14:val="none"/>
        </w:rPr>
        <w:t xml:space="preserve"> en Bulgaria y Eslovaquia, mientras presas serbias recortan un 30% su rendimiento.</w:t>
      </w:r>
    </w:p>
    <w:p w14:paraId="42FC8317" w14:textId="77777777" w:rsidR="001C207B" w:rsidRPr="001C207B" w:rsidRDefault="001C207B" w:rsidP="001C207B">
      <w:pPr>
        <w:shd w:val="clear" w:color="auto" w:fill="FFFFFF"/>
        <w:spacing w:before="360" w:after="80" w:line="240" w:lineRule="auto"/>
        <w:jc w:val="both"/>
        <w:outlineLvl w:val="1"/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es-UY"/>
          <w14:ligatures w14:val="none"/>
        </w:rPr>
      </w:pPr>
      <w:r w:rsidRPr="001C207B">
        <w:rPr>
          <w:rFonts w:ascii="Arial" w:eastAsia="Times New Roman" w:hAnsi="Arial" w:cs="Arial"/>
          <w:b/>
          <w:bCs/>
          <w:color w:val="000000"/>
          <w:kern w:val="0"/>
          <w:sz w:val="34"/>
          <w:szCs w:val="34"/>
          <w:lang w:eastAsia="es-UY"/>
          <w14:ligatures w14:val="none"/>
        </w:rPr>
        <w:t>Tensiones de mercado y vulnerabilidad ante el impacto climático</w:t>
      </w:r>
    </w:p>
    <w:p w14:paraId="6C3DD5EE" w14:textId="77777777" w:rsidR="001C207B" w:rsidRPr="001C207B" w:rsidRDefault="001C207B" w:rsidP="001C207B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222222"/>
          <w:kern w:val="0"/>
          <w:lang w:eastAsia="es-UY"/>
          <w14:ligatures w14:val="none"/>
        </w:rPr>
      </w:pPr>
      <w:r w:rsidRPr="001C207B">
        <w:rPr>
          <w:rFonts w:ascii="Arial" w:eastAsia="Times New Roman" w:hAnsi="Arial" w:cs="Arial"/>
          <w:color w:val="000000"/>
          <w:kern w:val="0"/>
          <w:sz w:val="20"/>
          <w:szCs w:val="20"/>
          <w:lang w:eastAsia="es-UY"/>
          <w14:ligatures w14:val="none"/>
        </w:rPr>
        <w:t xml:space="preserve">El déficit de generación atómica y las trabas logísticas derivan en </w:t>
      </w:r>
      <w:r w:rsidRPr="001C207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s-UY"/>
          <w14:ligatures w14:val="none"/>
        </w:rPr>
        <w:t>volatilidad del mercado eléctrico</w:t>
      </w:r>
      <w:r w:rsidRPr="001C207B">
        <w:rPr>
          <w:rFonts w:ascii="Arial" w:eastAsia="Times New Roman" w:hAnsi="Arial" w:cs="Arial"/>
          <w:color w:val="000000"/>
          <w:kern w:val="0"/>
          <w:sz w:val="20"/>
          <w:szCs w:val="20"/>
          <w:lang w:eastAsia="es-UY"/>
          <w14:ligatures w14:val="none"/>
        </w:rPr>
        <w:t>. Estos desequilibrios afectan las previsiones de costes operativos, con fluctuaciones reflejadas directamente en el</w:t>
      </w:r>
      <w:hyperlink r:id="rId7" w:tgtFrame="_blank" w:history="1">
        <w:r w:rsidRPr="001C207B">
          <w:rPr>
            <w:rFonts w:ascii="Arial" w:eastAsia="Times New Roman" w:hAnsi="Arial" w:cs="Arial"/>
            <w:color w:val="000000"/>
            <w:kern w:val="0"/>
            <w:sz w:val="20"/>
            <w:szCs w:val="20"/>
            <w:lang w:eastAsia="es-UY"/>
            <w14:ligatures w14:val="none"/>
          </w:rPr>
          <w:t xml:space="preserve"> </w:t>
        </w:r>
        <w:r w:rsidRPr="001C207B">
          <w:rPr>
            <w:rFonts w:ascii="Arial" w:eastAsia="Times New Roman" w:hAnsi="Arial" w:cs="Arial"/>
            <w:color w:val="1155CC"/>
            <w:kern w:val="0"/>
            <w:sz w:val="20"/>
            <w:szCs w:val="20"/>
            <w:u w:val="single"/>
            <w:lang w:eastAsia="es-UY"/>
            <w14:ligatures w14:val="none"/>
          </w:rPr>
          <w:t>precio de la luz hoy</w:t>
        </w:r>
      </w:hyperlink>
      <w:r w:rsidRPr="001C207B">
        <w:rPr>
          <w:rFonts w:ascii="Arial" w:eastAsia="Times New Roman" w:hAnsi="Arial" w:cs="Arial"/>
          <w:color w:val="000000"/>
          <w:kern w:val="0"/>
          <w:sz w:val="20"/>
          <w:szCs w:val="20"/>
          <w:lang w:eastAsia="es-UY"/>
          <w14:ligatures w14:val="none"/>
        </w:rPr>
        <w:t xml:space="preserve"> para los consumidores. Los analistas enfatizan que las perturbaciones térmicas y biológicas </w:t>
      </w:r>
      <w:r w:rsidRPr="001C207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s-UY"/>
          <w14:ligatures w14:val="none"/>
        </w:rPr>
        <w:t>obligan a replantear la resiliencia de la red energética</w:t>
      </w:r>
      <w:r w:rsidRPr="001C207B">
        <w:rPr>
          <w:rFonts w:ascii="Arial" w:eastAsia="Times New Roman" w:hAnsi="Arial" w:cs="Arial"/>
          <w:color w:val="000000"/>
          <w:kern w:val="0"/>
          <w:sz w:val="20"/>
          <w:szCs w:val="20"/>
          <w:lang w:eastAsia="es-UY"/>
          <w14:ligatures w14:val="none"/>
        </w:rPr>
        <w:t xml:space="preserve"> para afrontar el</w:t>
      </w:r>
      <w:hyperlink r:id="rId8" w:tgtFrame="_blank" w:history="1">
        <w:r w:rsidRPr="001C207B">
          <w:rPr>
            <w:rFonts w:ascii="Arial" w:eastAsia="Times New Roman" w:hAnsi="Arial" w:cs="Arial"/>
            <w:color w:val="000000"/>
            <w:kern w:val="0"/>
            <w:sz w:val="20"/>
            <w:szCs w:val="20"/>
            <w:lang w:eastAsia="es-UY"/>
            <w14:ligatures w14:val="none"/>
          </w:rPr>
          <w:t xml:space="preserve"> </w:t>
        </w:r>
        <w:r w:rsidRPr="001C207B">
          <w:rPr>
            <w:rFonts w:ascii="Arial" w:eastAsia="Times New Roman" w:hAnsi="Arial" w:cs="Arial"/>
            <w:color w:val="1155CC"/>
            <w:kern w:val="0"/>
            <w:sz w:val="20"/>
            <w:szCs w:val="20"/>
            <w:u w:val="single"/>
            <w:lang w:eastAsia="es-UY"/>
            <w14:ligatures w14:val="none"/>
          </w:rPr>
          <w:t>cambio climático</w:t>
        </w:r>
      </w:hyperlink>
      <w:r w:rsidRPr="001C207B">
        <w:rPr>
          <w:rFonts w:ascii="Arial" w:eastAsia="Times New Roman" w:hAnsi="Arial" w:cs="Arial"/>
          <w:color w:val="000000"/>
          <w:kern w:val="0"/>
          <w:sz w:val="20"/>
          <w:szCs w:val="20"/>
          <w:lang w:eastAsia="es-UY"/>
          <w14:ligatures w14:val="none"/>
        </w:rPr>
        <w:t xml:space="preserve">. Este escenario refuerza la conveniencia de </w:t>
      </w:r>
      <w:r w:rsidRPr="001C207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s-UY"/>
          <w14:ligatures w14:val="none"/>
        </w:rPr>
        <w:t>impulsar modelos sustentables</w:t>
      </w:r>
      <w:r w:rsidRPr="001C207B">
        <w:rPr>
          <w:rFonts w:ascii="Arial" w:eastAsia="Times New Roman" w:hAnsi="Arial" w:cs="Arial"/>
          <w:color w:val="000000"/>
          <w:kern w:val="0"/>
          <w:sz w:val="20"/>
          <w:szCs w:val="20"/>
          <w:lang w:eastAsia="es-UY"/>
          <w14:ligatures w14:val="none"/>
        </w:rPr>
        <w:t xml:space="preserve"> como la</w:t>
      </w:r>
      <w:hyperlink r:id="rId9" w:tgtFrame="_blank" w:history="1">
        <w:r w:rsidRPr="001C207B">
          <w:rPr>
            <w:rFonts w:ascii="Arial" w:eastAsia="Times New Roman" w:hAnsi="Arial" w:cs="Arial"/>
            <w:color w:val="000000"/>
            <w:kern w:val="0"/>
            <w:sz w:val="20"/>
            <w:szCs w:val="20"/>
            <w:lang w:eastAsia="es-UY"/>
            <w14:ligatures w14:val="none"/>
          </w:rPr>
          <w:t xml:space="preserve"> </w:t>
        </w:r>
        <w:r w:rsidRPr="001C207B">
          <w:rPr>
            <w:rFonts w:ascii="Arial" w:eastAsia="Times New Roman" w:hAnsi="Arial" w:cs="Arial"/>
            <w:color w:val="1155CC"/>
            <w:kern w:val="0"/>
            <w:sz w:val="20"/>
            <w:szCs w:val="20"/>
            <w:u w:val="single"/>
            <w:lang w:eastAsia="es-UY"/>
            <w14:ligatures w14:val="none"/>
          </w:rPr>
          <w:t>movilidad sostenible</w:t>
        </w:r>
      </w:hyperlink>
      <w:r w:rsidRPr="001C207B">
        <w:rPr>
          <w:rFonts w:ascii="Arial" w:eastAsia="Times New Roman" w:hAnsi="Arial" w:cs="Arial"/>
          <w:color w:val="000000"/>
          <w:kern w:val="0"/>
          <w:sz w:val="20"/>
          <w:szCs w:val="20"/>
          <w:lang w:eastAsia="es-UY"/>
          <w14:ligatures w14:val="none"/>
        </w:rPr>
        <w:t xml:space="preserve"> para atenuar la presión sobre los recursos compartidos.</w:t>
      </w:r>
    </w:p>
    <w:p w14:paraId="1B44FDBB" w14:textId="77777777" w:rsidR="001C207B" w:rsidRPr="001C207B" w:rsidRDefault="001C207B" w:rsidP="001C207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UY"/>
          <w14:ligatures w14:val="none"/>
        </w:rPr>
      </w:pPr>
      <w:r w:rsidRPr="001C207B">
        <w:rPr>
          <w:rFonts w:ascii="Arial" w:eastAsia="Times New Roman" w:hAnsi="Arial" w:cs="Arial"/>
          <w:color w:val="222222"/>
          <w:kern w:val="0"/>
          <w:lang w:eastAsia="es-UY"/>
          <w14:ligatures w14:val="none"/>
        </w:rPr>
        <w:lastRenderedPageBreak/>
        <w:br/>
      </w:r>
    </w:p>
    <w:p w14:paraId="40C6A28F" w14:textId="77777777" w:rsidR="001C207B" w:rsidRPr="001C207B" w:rsidRDefault="001C207B" w:rsidP="001C207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lang w:eastAsia="es-UY"/>
          <w14:ligatures w14:val="none"/>
        </w:rPr>
      </w:pPr>
      <w:r w:rsidRPr="001C207B">
        <w:rPr>
          <w:rFonts w:ascii="Arial" w:eastAsia="Times New Roman" w:hAnsi="Arial" w:cs="Arial"/>
          <w:color w:val="000000"/>
          <w:kern w:val="0"/>
          <w:sz w:val="20"/>
          <w:szCs w:val="20"/>
          <w:lang w:eastAsia="es-UY"/>
          <w14:ligatures w14:val="none"/>
        </w:rPr>
        <w:t xml:space="preserve">Fuente: </w:t>
      </w:r>
      <w:hyperlink r:id="rId10" w:tgtFrame="_blank" w:history="1">
        <w:r w:rsidRPr="001C207B">
          <w:rPr>
            <w:rFonts w:ascii="Arial" w:eastAsia="Times New Roman" w:hAnsi="Arial" w:cs="Arial"/>
            <w:color w:val="1155CC"/>
            <w:kern w:val="0"/>
            <w:sz w:val="20"/>
            <w:szCs w:val="20"/>
            <w:u w:val="single"/>
            <w:lang w:eastAsia="es-UY"/>
            <w14:ligatures w14:val="none"/>
          </w:rPr>
          <w:t>papernest.es</w:t>
        </w:r>
      </w:hyperlink>
    </w:p>
    <w:p w14:paraId="1F57278F" w14:textId="77777777" w:rsidR="001C207B" w:rsidRPr="001C207B" w:rsidRDefault="001C207B" w:rsidP="001C207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UY"/>
          <w14:ligatures w14:val="none"/>
        </w:rPr>
      </w:pPr>
      <w:r w:rsidRPr="001C207B">
        <w:rPr>
          <w:rFonts w:ascii="Arial" w:eastAsia="Times New Roman" w:hAnsi="Arial" w:cs="Arial"/>
          <w:color w:val="222222"/>
          <w:kern w:val="0"/>
          <w:lang w:eastAsia="es-UY"/>
          <w14:ligatures w14:val="none"/>
        </w:rPr>
        <w:br/>
      </w:r>
    </w:p>
    <w:p w14:paraId="38223509" w14:textId="77777777" w:rsidR="001C207B" w:rsidRDefault="001C207B"/>
    <w:sectPr w:rsidR="001C20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B5D46"/>
    <w:multiLevelType w:val="multilevel"/>
    <w:tmpl w:val="25EE5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2480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07B"/>
    <w:rsid w:val="001C207B"/>
    <w:rsid w:val="003F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5C736"/>
  <w15:chartTrackingRefBased/>
  <w15:docId w15:val="{04E44BEB-28E3-4E09-9976-29ACADAD7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C20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C20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C20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C20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C20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C20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C20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C20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C20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C20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C20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C20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C207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C207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C20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C207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C20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C20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C20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C20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C20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C20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C20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C207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C207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C207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C20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C207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C20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pernest.es/info/renovables/cambio-climatic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apernest.es/precio-de-la-luz/hoy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apernest.es/info/huella-carbono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papernest.es/info/renovables/" TargetMode="External"/><Relationship Id="rId10" Type="http://schemas.openxmlformats.org/officeDocument/2006/relationships/hyperlink" Target="https://www.papernest.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apernest.es/energias-renovables/movilidad-sostenible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Hermano</dc:creator>
  <cp:keywords/>
  <dc:description/>
  <cp:lastModifiedBy>Rosario Hermano</cp:lastModifiedBy>
  <cp:revision>1</cp:revision>
  <dcterms:created xsi:type="dcterms:W3CDTF">2026-08-17T12:27:00Z</dcterms:created>
  <dcterms:modified xsi:type="dcterms:W3CDTF">2026-08-17T12:27:00Z</dcterms:modified>
</cp:coreProperties>
</file>