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956A2" w14:textId="77777777" w:rsidR="007B21DE" w:rsidRPr="007B21DE" w:rsidRDefault="007B21DE" w:rsidP="007B21DE">
      <w:pPr>
        <w:shd w:val="clear" w:color="auto" w:fill="FFFFFF"/>
        <w:spacing w:before="480" w:after="120" w:line="240" w:lineRule="auto"/>
        <w:jc w:val="both"/>
        <w:outlineLvl w:val="0"/>
        <w:rPr>
          <w:rFonts w:ascii="Arial" w:eastAsia="Times New Roman" w:hAnsi="Arial" w:cs="Arial"/>
          <w:b/>
          <w:bCs/>
          <w:color w:val="222222"/>
          <w:kern w:val="36"/>
          <w:sz w:val="48"/>
          <w:szCs w:val="48"/>
          <w:lang w:eastAsia="es-UY"/>
          <w14:ligatures w14:val="none"/>
        </w:rPr>
      </w:pPr>
      <w:r w:rsidRPr="007B21DE">
        <w:rPr>
          <w:rFonts w:ascii="Arial" w:eastAsia="Times New Roman" w:hAnsi="Arial" w:cs="Arial"/>
          <w:b/>
          <w:bCs/>
          <w:color w:val="000000"/>
          <w:kern w:val="36"/>
          <w:sz w:val="46"/>
          <w:szCs w:val="46"/>
          <w:lang w:eastAsia="es-UY"/>
          <w14:ligatures w14:val="none"/>
        </w:rPr>
        <w:t>El consumo hídrico de la inteligencia artificial bajo la lupa frente a otros sectores</w:t>
      </w:r>
    </w:p>
    <w:p w14:paraId="7F0D42BD" w14:textId="77777777" w:rsidR="007B21DE" w:rsidRPr="007B21DE" w:rsidRDefault="007B21DE" w:rsidP="007B21DE">
      <w:pPr>
        <w:shd w:val="clear" w:color="auto" w:fill="FFFFFF"/>
        <w:spacing w:before="240" w:after="240" w:line="240" w:lineRule="auto"/>
        <w:jc w:val="both"/>
        <w:rPr>
          <w:rFonts w:ascii="Arial" w:eastAsia="Times New Roman" w:hAnsi="Arial" w:cs="Arial"/>
          <w:color w:val="222222"/>
          <w:kern w:val="0"/>
          <w:lang w:eastAsia="es-UY"/>
          <w14:ligatures w14:val="none"/>
        </w:rPr>
      </w:pPr>
      <w:r w:rsidRPr="007B21DE">
        <w:rPr>
          <w:rFonts w:ascii="Arial" w:eastAsia="Times New Roman" w:hAnsi="Arial" w:cs="Arial"/>
          <w:color w:val="000000"/>
          <w:kern w:val="0"/>
          <w:sz w:val="20"/>
          <w:szCs w:val="20"/>
          <w:lang w:eastAsia="es-UY"/>
          <w14:ligatures w14:val="none"/>
        </w:rPr>
        <w:t xml:space="preserve">El </w:t>
      </w:r>
      <w:r w:rsidRPr="007B21DE">
        <w:rPr>
          <w:rFonts w:ascii="Arial" w:eastAsia="Times New Roman" w:hAnsi="Arial" w:cs="Arial"/>
          <w:b/>
          <w:bCs/>
          <w:color w:val="000000"/>
          <w:kern w:val="0"/>
          <w:sz w:val="20"/>
          <w:szCs w:val="20"/>
          <w:lang w:eastAsia="es-UY"/>
          <w14:ligatures w14:val="none"/>
        </w:rPr>
        <w:t>impacto ambiental de la inteligencia artificial</w:t>
      </w:r>
      <w:r w:rsidRPr="007B21DE">
        <w:rPr>
          <w:rFonts w:ascii="Arial" w:eastAsia="Times New Roman" w:hAnsi="Arial" w:cs="Arial"/>
          <w:color w:val="000000"/>
          <w:kern w:val="0"/>
          <w:sz w:val="20"/>
          <w:szCs w:val="20"/>
          <w:lang w:eastAsia="es-UY"/>
          <w14:ligatures w14:val="none"/>
        </w:rPr>
        <w:t xml:space="preserve"> ha desatado un debate intenso, situando el uso de agua de los centros de datos en el centro de las críticas. Sin embargo, un análisis detallado revela una realidad compleja al comparar la </w:t>
      </w:r>
      <w:r w:rsidRPr="007B21DE">
        <w:rPr>
          <w:rFonts w:ascii="Arial" w:eastAsia="Times New Roman" w:hAnsi="Arial" w:cs="Arial"/>
          <w:b/>
          <w:bCs/>
          <w:color w:val="000000"/>
          <w:kern w:val="0"/>
          <w:sz w:val="20"/>
          <w:szCs w:val="20"/>
          <w:lang w:eastAsia="es-UY"/>
          <w14:ligatures w14:val="none"/>
        </w:rPr>
        <w:t>infraestructura digital con sectores tradicionales</w:t>
      </w:r>
      <w:r w:rsidRPr="007B21DE">
        <w:rPr>
          <w:rFonts w:ascii="Arial" w:eastAsia="Times New Roman" w:hAnsi="Arial" w:cs="Arial"/>
          <w:color w:val="000000"/>
          <w:kern w:val="0"/>
          <w:sz w:val="20"/>
          <w:szCs w:val="20"/>
          <w:lang w:eastAsia="es-UY"/>
          <w14:ligatures w14:val="none"/>
        </w:rPr>
        <w:t>. Mientras la tecnología busca eficiencia, reducir la</w:t>
      </w:r>
      <w:hyperlink r:id="rId5" w:tgtFrame="_blank" w:history="1">
        <w:r w:rsidRPr="007B21DE">
          <w:rPr>
            <w:rFonts w:ascii="Arial" w:eastAsia="Times New Roman" w:hAnsi="Arial" w:cs="Arial"/>
            <w:color w:val="000000"/>
            <w:kern w:val="0"/>
            <w:sz w:val="20"/>
            <w:szCs w:val="20"/>
            <w:lang w:eastAsia="es-UY"/>
            <w14:ligatures w14:val="none"/>
          </w:rPr>
          <w:t xml:space="preserve"> </w:t>
        </w:r>
        <w:r w:rsidRPr="007B21DE">
          <w:rPr>
            <w:rFonts w:ascii="Arial" w:eastAsia="Times New Roman" w:hAnsi="Arial" w:cs="Arial"/>
            <w:color w:val="1155CC"/>
            <w:kern w:val="0"/>
            <w:sz w:val="20"/>
            <w:szCs w:val="20"/>
            <w:u w:val="single"/>
            <w:lang w:eastAsia="es-UY"/>
            <w14:ligatures w14:val="none"/>
          </w:rPr>
          <w:t>huella de carbono</w:t>
        </w:r>
      </w:hyperlink>
      <w:r w:rsidRPr="007B21DE">
        <w:rPr>
          <w:rFonts w:ascii="Arial" w:eastAsia="Times New Roman" w:hAnsi="Arial" w:cs="Arial"/>
          <w:color w:val="000000"/>
          <w:kern w:val="0"/>
          <w:sz w:val="20"/>
          <w:szCs w:val="20"/>
          <w:lang w:eastAsia="es-UY"/>
          <w14:ligatures w14:val="none"/>
        </w:rPr>
        <w:t xml:space="preserve"> de estas operaciones resulta clave para evaluar su sostenibilidad real.</w:t>
      </w:r>
    </w:p>
    <w:p w14:paraId="3AC64E36" w14:textId="77777777" w:rsidR="007B21DE" w:rsidRPr="007B21DE" w:rsidRDefault="007B21DE" w:rsidP="007B21DE">
      <w:pPr>
        <w:shd w:val="clear" w:color="auto" w:fill="FFFFFF"/>
        <w:spacing w:before="360" w:after="80" w:line="240" w:lineRule="auto"/>
        <w:jc w:val="both"/>
        <w:outlineLvl w:val="1"/>
        <w:rPr>
          <w:rFonts w:ascii="Arial" w:eastAsia="Times New Roman" w:hAnsi="Arial" w:cs="Arial"/>
          <w:b/>
          <w:bCs/>
          <w:color w:val="222222"/>
          <w:kern w:val="0"/>
          <w:sz w:val="36"/>
          <w:szCs w:val="36"/>
          <w:lang w:eastAsia="es-UY"/>
          <w14:ligatures w14:val="none"/>
        </w:rPr>
      </w:pPr>
      <w:r w:rsidRPr="007B21DE">
        <w:rPr>
          <w:rFonts w:ascii="Arial" w:eastAsia="Times New Roman" w:hAnsi="Arial" w:cs="Arial"/>
          <w:b/>
          <w:bCs/>
          <w:color w:val="000000"/>
          <w:kern w:val="0"/>
          <w:sz w:val="34"/>
          <w:szCs w:val="34"/>
          <w:lang w:eastAsia="es-UY"/>
          <w14:ligatures w14:val="none"/>
        </w:rPr>
        <w:t>Comparativa de consumo hídrico: datos masivos versus campos de golf</w:t>
      </w:r>
    </w:p>
    <w:p w14:paraId="64B349B4" w14:textId="77777777" w:rsidR="007B21DE" w:rsidRPr="007B21DE" w:rsidRDefault="007B21DE" w:rsidP="007B21DE">
      <w:pPr>
        <w:shd w:val="clear" w:color="auto" w:fill="FFFFFF"/>
        <w:spacing w:before="240" w:after="240" w:line="240" w:lineRule="auto"/>
        <w:jc w:val="both"/>
        <w:rPr>
          <w:rFonts w:ascii="Arial" w:eastAsia="Times New Roman" w:hAnsi="Arial" w:cs="Arial"/>
          <w:color w:val="222222"/>
          <w:kern w:val="0"/>
          <w:lang w:eastAsia="es-UY"/>
          <w14:ligatures w14:val="none"/>
        </w:rPr>
      </w:pPr>
      <w:r w:rsidRPr="007B21DE">
        <w:rPr>
          <w:rFonts w:ascii="Arial" w:eastAsia="Times New Roman" w:hAnsi="Arial" w:cs="Arial"/>
          <w:color w:val="000000"/>
          <w:kern w:val="0"/>
          <w:sz w:val="20"/>
          <w:szCs w:val="20"/>
          <w:lang w:eastAsia="es-UY"/>
          <w14:ligatures w14:val="none"/>
        </w:rPr>
        <w:t>El uso de agua de la infraestructura digital suele evaluarse aisladamente. Sin embargo, una comparativa directa refleja diferencias notables:</w:t>
      </w:r>
    </w:p>
    <w:p w14:paraId="4D1F614C" w14:textId="77777777" w:rsidR="007B21DE" w:rsidRPr="007B21DE" w:rsidRDefault="007B21DE" w:rsidP="007B21DE">
      <w:pPr>
        <w:numPr>
          <w:ilvl w:val="0"/>
          <w:numId w:val="1"/>
        </w:numPr>
        <w:spacing w:before="240" w:after="0" w:line="240" w:lineRule="auto"/>
        <w:ind w:left="945"/>
        <w:jc w:val="both"/>
        <w:textAlignment w:val="baseline"/>
        <w:rPr>
          <w:rFonts w:ascii="Arial" w:eastAsia="Times New Roman" w:hAnsi="Arial" w:cs="Arial"/>
          <w:color w:val="000000"/>
          <w:kern w:val="0"/>
          <w:sz w:val="20"/>
          <w:szCs w:val="20"/>
          <w:lang w:eastAsia="es-UY"/>
          <w14:ligatures w14:val="none"/>
        </w:rPr>
      </w:pPr>
      <w:r w:rsidRPr="007B21DE">
        <w:rPr>
          <w:rFonts w:ascii="Arial" w:eastAsia="Times New Roman" w:hAnsi="Arial" w:cs="Arial"/>
          <w:color w:val="000000"/>
          <w:kern w:val="0"/>
          <w:sz w:val="20"/>
          <w:szCs w:val="20"/>
          <w:lang w:eastAsia="es-UY"/>
          <w14:ligatures w14:val="none"/>
        </w:rPr>
        <w:t xml:space="preserve">Los </w:t>
      </w:r>
      <w:r w:rsidRPr="007B21DE">
        <w:rPr>
          <w:rFonts w:ascii="Arial" w:eastAsia="Times New Roman" w:hAnsi="Arial" w:cs="Arial"/>
          <w:b/>
          <w:bCs/>
          <w:color w:val="000000"/>
          <w:kern w:val="0"/>
          <w:sz w:val="20"/>
          <w:szCs w:val="20"/>
          <w:lang w:eastAsia="es-UY"/>
          <w14:ligatures w14:val="none"/>
        </w:rPr>
        <w:t>campos de golf en Estados Unidos consumen unos 530.000 millones de galones de agua</w:t>
      </w:r>
      <w:r w:rsidRPr="007B21DE">
        <w:rPr>
          <w:rFonts w:ascii="Arial" w:eastAsia="Times New Roman" w:hAnsi="Arial" w:cs="Arial"/>
          <w:color w:val="000000"/>
          <w:kern w:val="0"/>
          <w:sz w:val="20"/>
          <w:szCs w:val="20"/>
          <w:lang w:eastAsia="es-UY"/>
          <w14:ligatures w14:val="none"/>
        </w:rPr>
        <w:t xml:space="preserve"> al año.</w:t>
      </w:r>
    </w:p>
    <w:p w14:paraId="47E47175" w14:textId="77777777" w:rsidR="007B21DE" w:rsidRPr="007B21DE" w:rsidRDefault="007B21DE" w:rsidP="007B21DE">
      <w:pPr>
        <w:numPr>
          <w:ilvl w:val="0"/>
          <w:numId w:val="1"/>
        </w:numPr>
        <w:spacing w:after="0" w:line="240" w:lineRule="auto"/>
        <w:ind w:left="945"/>
        <w:jc w:val="both"/>
        <w:textAlignment w:val="baseline"/>
        <w:rPr>
          <w:rFonts w:ascii="Arial" w:eastAsia="Times New Roman" w:hAnsi="Arial" w:cs="Arial"/>
          <w:color w:val="000000"/>
          <w:kern w:val="0"/>
          <w:sz w:val="20"/>
          <w:szCs w:val="20"/>
          <w:lang w:eastAsia="es-UY"/>
          <w14:ligatures w14:val="none"/>
        </w:rPr>
      </w:pPr>
      <w:r w:rsidRPr="007B21DE">
        <w:rPr>
          <w:rFonts w:ascii="Arial" w:eastAsia="Times New Roman" w:hAnsi="Arial" w:cs="Arial"/>
          <w:color w:val="000000"/>
          <w:kern w:val="0"/>
          <w:sz w:val="20"/>
          <w:szCs w:val="20"/>
          <w:lang w:eastAsia="es-UY"/>
          <w14:ligatures w14:val="none"/>
        </w:rPr>
        <w:t xml:space="preserve">En contraste, el </w:t>
      </w:r>
      <w:r w:rsidRPr="007B21DE">
        <w:rPr>
          <w:rFonts w:ascii="Arial" w:eastAsia="Times New Roman" w:hAnsi="Arial" w:cs="Arial"/>
          <w:b/>
          <w:bCs/>
          <w:color w:val="000000"/>
          <w:kern w:val="0"/>
          <w:sz w:val="20"/>
          <w:szCs w:val="20"/>
          <w:lang w:eastAsia="es-UY"/>
          <w14:ligatures w14:val="none"/>
        </w:rPr>
        <w:t>consumo directo de los centros de datos</w:t>
      </w:r>
      <w:r w:rsidRPr="007B21DE">
        <w:rPr>
          <w:rFonts w:ascii="Arial" w:eastAsia="Times New Roman" w:hAnsi="Arial" w:cs="Arial"/>
          <w:color w:val="000000"/>
          <w:kern w:val="0"/>
          <w:sz w:val="20"/>
          <w:szCs w:val="20"/>
          <w:lang w:eastAsia="es-UY"/>
          <w14:ligatures w14:val="none"/>
        </w:rPr>
        <w:t xml:space="preserve"> en ese país se situó en </w:t>
      </w:r>
      <w:r w:rsidRPr="007B21DE">
        <w:rPr>
          <w:rFonts w:ascii="Arial" w:eastAsia="Times New Roman" w:hAnsi="Arial" w:cs="Arial"/>
          <w:b/>
          <w:bCs/>
          <w:color w:val="000000"/>
          <w:kern w:val="0"/>
          <w:sz w:val="20"/>
          <w:szCs w:val="20"/>
          <w:lang w:eastAsia="es-UY"/>
          <w14:ligatures w14:val="none"/>
        </w:rPr>
        <w:t>17.400 millones de galones en 2023</w:t>
      </w:r>
      <w:r w:rsidRPr="007B21DE">
        <w:rPr>
          <w:rFonts w:ascii="Arial" w:eastAsia="Times New Roman" w:hAnsi="Arial" w:cs="Arial"/>
          <w:color w:val="000000"/>
          <w:kern w:val="0"/>
          <w:sz w:val="20"/>
          <w:szCs w:val="20"/>
          <w:lang w:eastAsia="es-UY"/>
          <w14:ligatures w14:val="none"/>
        </w:rPr>
        <w:t>.</w:t>
      </w:r>
    </w:p>
    <w:p w14:paraId="21E16EF8" w14:textId="77777777" w:rsidR="007B21DE" w:rsidRPr="007B21DE" w:rsidRDefault="007B21DE" w:rsidP="007B21DE">
      <w:pPr>
        <w:numPr>
          <w:ilvl w:val="0"/>
          <w:numId w:val="1"/>
        </w:numPr>
        <w:spacing w:after="240" w:line="240" w:lineRule="auto"/>
        <w:ind w:left="945"/>
        <w:jc w:val="both"/>
        <w:textAlignment w:val="baseline"/>
        <w:rPr>
          <w:rFonts w:ascii="Arial" w:eastAsia="Times New Roman" w:hAnsi="Arial" w:cs="Arial"/>
          <w:color w:val="000000"/>
          <w:kern w:val="0"/>
          <w:sz w:val="20"/>
          <w:szCs w:val="20"/>
          <w:lang w:eastAsia="es-UY"/>
          <w14:ligatures w14:val="none"/>
        </w:rPr>
      </w:pPr>
      <w:r w:rsidRPr="007B21DE">
        <w:rPr>
          <w:rFonts w:ascii="Arial" w:eastAsia="Times New Roman" w:hAnsi="Arial" w:cs="Arial"/>
          <w:color w:val="000000"/>
          <w:kern w:val="0"/>
          <w:sz w:val="20"/>
          <w:szCs w:val="20"/>
          <w:lang w:eastAsia="es-UY"/>
          <w14:ligatures w14:val="none"/>
        </w:rPr>
        <w:t xml:space="preserve">Esto implica que la </w:t>
      </w:r>
      <w:r w:rsidRPr="007B21DE">
        <w:rPr>
          <w:rFonts w:ascii="Arial" w:eastAsia="Times New Roman" w:hAnsi="Arial" w:cs="Arial"/>
          <w:b/>
          <w:bCs/>
          <w:color w:val="000000"/>
          <w:kern w:val="0"/>
          <w:sz w:val="20"/>
          <w:szCs w:val="20"/>
          <w:lang w:eastAsia="es-UY"/>
          <w14:ligatures w14:val="none"/>
        </w:rPr>
        <w:t>industria del golf consume aproximadamente 30 veces más agua</w:t>
      </w:r>
      <w:r w:rsidRPr="007B21DE">
        <w:rPr>
          <w:rFonts w:ascii="Arial" w:eastAsia="Times New Roman" w:hAnsi="Arial" w:cs="Arial"/>
          <w:color w:val="000000"/>
          <w:kern w:val="0"/>
          <w:sz w:val="20"/>
          <w:szCs w:val="20"/>
          <w:lang w:eastAsia="es-UY"/>
          <w14:ligatures w14:val="none"/>
        </w:rPr>
        <w:t xml:space="preserve"> que toda la red de centros de datos combinada.</w:t>
      </w:r>
    </w:p>
    <w:p w14:paraId="606AF549" w14:textId="77777777" w:rsidR="007B21DE" w:rsidRPr="007B21DE" w:rsidRDefault="007B21DE" w:rsidP="007B21DE">
      <w:pPr>
        <w:shd w:val="clear" w:color="auto" w:fill="FFFFFF"/>
        <w:spacing w:before="240" w:after="240" w:line="240" w:lineRule="auto"/>
        <w:jc w:val="both"/>
        <w:rPr>
          <w:rFonts w:ascii="Arial" w:eastAsia="Times New Roman" w:hAnsi="Arial" w:cs="Arial"/>
          <w:color w:val="222222"/>
          <w:kern w:val="0"/>
          <w:lang w:eastAsia="es-UY"/>
          <w14:ligatures w14:val="none"/>
        </w:rPr>
      </w:pPr>
      <w:r w:rsidRPr="007B21DE">
        <w:rPr>
          <w:rFonts w:ascii="Arial" w:eastAsia="Times New Roman" w:hAnsi="Arial" w:cs="Arial"/>
          <w:color w:val="000000"/>
          <w:kern w:val="0"/>
          <w:sz w:val="20"/>
          <w:szCs w:val="20"/>
          <w:lang w:eastAsia="es-UY"/>
          <w14:ligatures w14:val="none"/>
        </w:rPr>
        <w:t xml:space="preserve">Pese a esta diferencia, la expansión digital genera un </w:t>
      </w:r>
      <w:r w:rsidRPr="007B21DE">
        <w:rPr>
          <w:rFonts w:ascii="Arial" w:eastAsia="Times New Roman" w:hAnsi="Arial" w:cs="Arial"/>
          <w:b/>
          <w:bCs/>
          <w:color w:val="000000"/>
          <w:kern w:val="0"/>
          <w:sz w:val="20"/>
          <w:szCs w:val="20"/>
          <w:lang w:eastAsia="es-UY"/>
          <w14:ligatures w14:val="none"/>
        </w:rPr>
        <w:t>fuerte rechazo social</w:t>
      </w:r>
      <w:r w:rsidRPr="007B21DE">
        <w:rPr>
          <w:rFonts w:ascii="Arial" w:eastAsia="Times New Roman" w:hAnsi="Arial" w:cs="Arial"/>
          <w:color w:val="000000"/>
          <w:kern w:val="0"/>
          <w:sz w:val="20"/>
          <w:szCs w:val="20"/>
          <w:lang w:eastAsia="es-UY"/>
          <w14:ligatures w14:val="none"/>
        </w:rPr>
        <w:t xml:space="preserve">. La reacción responde a la concentración geográfica, pues el </w:t>
      </w:r>
      <w:r w:rsidRPr="007B21DE">
        <w:rPr>
          <w:rFonts w:ascii="Arial" w:eastAsia="Times New Roman" w:hAnsi="Arial" w:cs="Arial"/>
          <w:b/>
          <w:bCs/>
          <w:color w:val="000000"/>
          <w:kern w:val="0"/>
          <w:sz w:val="20"/>
          <w:szCs w:val="20"/>
          <w:lang w:eastAsia="es-UY"/>
          <w14:ligatures w14:val="none"/>
        </w:rPr>
        <w:t>40% de estas instalaciones se ubican en zonas con estrés hídrico</w:t>
      </w:r>
      <w:r w:rsidRPr="007B21DE">
        <w:rPr>
          <w:rFonts w:ascii="Arial" w:eastAsia="Times New Roman" w:hAnsi="Arial" w:cs="Arial"/>
          <w:color w:val="000000"/>
          <w:kern w:val="0"/>
          <w:sz w:val="20"/>
          <w:szCs w:val="20"/>
          <w:lang w:eastAsia="es-UY"/>
          <w14:ligatures w14:val="none"/>
        </w:rPr>
        <w:t>. Además, las exigencias de infraestructuras limpias conectan con otros retos de descarbonización, como el avance hacia la</w:t>
      </w:r>
      <w:hyperlink r:id="rId6" w:tgtFrame="_blank" w:history="1">
        <w:r w:rsidRPr="007B21DE">
          <w:rPr>
            <w:rFonts w:ascii="Arial" w:eastAsia="Times New Roman" w:hAnsi="Arial" w:cs="Arial"/>
            <w:color w:val="000000"/>
            <w:kern w:val="0"/>
            <w:sz w:val="20"/>
            <w:szCs w:val="20"/>
            <w:lang w:eastAsia="es-UY"/>
            <w14:ligatures w14:val="none"/>
          </w:rPr>
          <w:t xml:space="preserve"> </w:t>
        </w:r>
        <w:r w:rsidRPr="007B21DE">
          <w:rPr>
            <w:rFonts w:ascii="Arial" w:eastAsia="Times New Roman" w:hAnsi="Arial" w:cs="Arial"/>
            <w:color w:val="1155CC"/>
            <w:kern w:val="0"/>
            <w:sz w:val="20"/>
            <w:szCs w:val="20"/>
            <w:u w:val="single"/>
            <w:lang w:eastAsia="es-UY"/>
            <w14:ligatures w14:val="none"/>
          </w:rPr>
          <w:t>movilidad sostenible</w:t>
        </w:r>
      </w:hyperlink>
      <w:r w:rsidRPr="007B21DE">
        <w:rPr>
          <w:rFonts w:ascii="Arial" w:eastAsia="Times New Roman" w:hAnsi="Arial" w:cs="Arial"/>
          <w:color w:val="000000"/>
          <w:kern w:val="0"/>
          <w:sz w:val="20"/>
          <w:szCs w:val="20"/>
          <w:lang w:eastAsia="es-UY"/>
          <w14:ligatures w14:val="none"/>
        </w:rPr>
        <w:t xml:space="preserve"> en entornos urbanos e industriales.</w:t>
      </w:r>
    </w:p>
    <w:p w14:paraId="0250DF85" w14:textId="77777777" w:rsidR="007B21DE" w:rsidRPr="007B21DE" w:rsidRDefault="007B21DE" w:rsidP="007B21DE">
      <w:pPr>
        <w:shd w:val="clear" w:color="auto" w:fill="FFFFFF"/>
        <w:spacing w:before="360" w:after="80" w:line="240" w:lineRule="auto"/>
        <w:jc w:val="both"/>
        <w:outlineLvl w:val="1"/>
        <w:rPr>
          <w:rFonts w:ascii="Arial" w:eastAsia="Times New Roman" w:hAnsi="Arial" w:cs="Arial"/>
          <w:b/>
          <w:bCs/>
          <w:color w:val="222222"/>
          <w:kern w:val="0"/>
          <w:sz w:val="36"/>
          <w:szCs w:val="36"/>
          <w:lang w:eastAsia="es-UY"/>
          <w14:ligatures w14:val="none"/>
        </w:rPr>
      </w:pPr>
      <w:r w:rsidRPr="007B21DE">
        <w:rPr>
          <w:rFonts w:ascii="Arial" w:eastAsia="Times New Roman" w:hAnsi="Arial" w:cs="Arial"/>
          <w:b/>
          <w:bCs/>
          <w:color w:val="000000"/>
          <w:kern w:val="0"/>
          <w:sz w:val="34"/>
          <w:szCs w:val="34"/>
          <w:lang w:eastAsia="es-UY"/>
          <w14:ligatures w14:val="none"/>
        </w:rPr>
        <w:t>La huella hídrica de la IA frente al sector ganadero</w:t>
      </w:r>
    </w:p>
    <w:p w14:paraId="739B974D" w14:textId="77777777" w:rsidR="007B21DE" w:rsidRPr="007B21DE" w:rsidRDefault="007B21DE" w:rsidP="007B21DE">
      <w:pPr>
        <w:shd w:val="clear" w:color="auto" w:fill="FFFFFF"/>
        <w:spacing w:before="240" w:after="240" w:line="240" w:lineRule="auto"/>
        <w:jc w:val="both"/>
        <w:rPr>
          <w:rFonts w:ascii="Arial" w:eastAsia="Times New Roman" w:hAnsi="Arial" w:cs="Arial"/>
          <w:color w:val="222222"/>
          <w:kern w:val="0"/>
          <w:lang w:eastAsia="es-UY"/>
          <w14:ligatures w14:val="none"/>
        </w:rPr>
      </w:pPr>
      <w:r w:rsidRPr="007B21DE">
        <w:rPr>
          <w:rFonts w:ascii="Arial" w:eastAsia="Times New Roman" w:hAnsi="Arial" w:cs="Arial"/>
          <w:color w:val="000000"/>
          <w:kern w:val="0"/>
          <w:sz w:val="20"/>
          <w:szCs w:val="20"/>
          <w:lang w:eastAsia="es-UY"/>
          <w14:ligatures w14:val="none"/>
        </w:rPr>
        <w:t xml:space="preserve">El contraste de la inteligencia artificial resulta más evidente frente a la agricultura y ganadería. La obtención de un solo </w:t>
      </w:r>
      <w:r w:rsidRPr="007B21DE">
        <w:rPr>
          <w:rFonts w:ascii="Arial" w:eastAsia="Times New Roman" w:hAnsi="Arial" w:cs="Arial"/>
          <w:b/>
          <w:bCs/>
          <w:color w:val="000000"/>
          <w:kern w:val="0"/>
          <w:sz w:val="20"/>
          <w:szCs w:val="20"/>
          <w:lang w:eastAsia="es-UY"/>
          <w14:ligatures w14:val="none"/>
        </w:rPr>
        <w:t>kilogramo de carne de vacuno requiere unos 15.000 litros de agua</w:t>
      </w:r>
      <w:r w:rsidRPr="007B21DE">
        <w:rPr>
          <w:rFonts w:ascii="Arial" w:eastAsia="Times New Roman" w:hAnsi="Arial" w:cs="Arial"/>
          <w:color w:val="000000"/>
          <w:kern w:val="0"/>
          <w:sz w:val="20"/>
          <w:szCs w:val="20"/>
          <w:lang w:eastAsia="es-UY"/>
          <w14:ligatures w14:val="none"/>
        </w:rPr>
        <w:t xml:space="preserve">, según investigaciones del especialista Mesfin Mekonnen. Esta cifra abarca el agua verde, azul y gris consumida, consolidando al sector agropecuario entre los </w:t>
      </w:r>
      <w:r w:rsidRPr="007B21DE">
        <w:rPr>
          <w:rFonts w:ascii="Arial" w:eastAsia="Times New Roman" w:hAnsi="Arial" w:cs="Arial"/>
          <w:b/>
          <w:bCs/>
          <w:color w:val="000000"/>
          <w:kern w:val="0"/>
          <w:sz w:val="20"/>
          <w:szCs w:val="20"/>
          <w:lang w:eastAsia="es-UY"/>
          <w14:ligatures w14:val="none"/>
        </w:rPr>
        <w:t>mayores consumidores del planeta</w:t>
      </w:r>
      <w:r w:rsidRPr="007B21DE">
        <w:rPr>
          <w:rFonts w:ascii="Arial" w:eastAsia="Times New Roman" w:hAnsi="Arial" w:cs="Arial"/>
          <w:color w:val="000000"/>
          <w:kern w:val="0"/>
          <w:sz w:val="20"/>
          <w:szCs w:val="20"/>
          <w:lang w:eastAsia="es-UY"/>
          <w14:ligatures w14:val="none"/>
        </w:rPr>
        <w:t>.</w:t>
      </w:r>
    </w:p>
    <w:p w14:paraId="330868B3" w14:textId="77777777" w:rsidR="007B21DE" w:rsidRPr="007B21DE" w:rsidRDefault="007B21DE" w:rsidP="007B21DE">
      <w:pPr>
        <w:shd w:val="clear" w:color="auto" w:fill="FFFFFF"/>
        <w:spacing w:before="240" w:after="240" w:line="240" w:lineRule="auto"/>
        <w:jc w:val="both"/>
        <w:rPr>
          <w:rFonts w:ascii="Arial" w:eastAsia="Times New Roman" w:hAnsi="Arial" w:cs="Arial"/>
          <w:color w:val="222222"/>
          <w:kern w:val="0"/>
          <w:lang w:eastAsia="es-UY"/>
          <w14:ligatures w14:val="none"/>
        </w:rPr>
      </w:pPr>
      <w:r w:rsidRPr="007B21DE">
        <w:rPr>
          <w:rFonts w:ascii="Arial" w:eastAsia="Times New Roman" w:hAnsi="Arial" w:cs="Arial"/>
          <w:color w:val="000000"/>
          <w:kern w:val="0"/>
          <w:sz w:val="20"/>
          <w:szCs w:val="20"/>
          <w:lang w:eastAsia="es-UY"/>
          <w14:ligatures w14:val="none"/>
        </w:rPr>
        <w:t xml:space="preserve">Por su parte, las estimaciones sobre la IA consideran principalmente el agua azul directa. Un estudio calculó que una </w:t>
      </w:r>
      <w:r w:rsidRPr="007B21DE">
        <w:rPr>
          <w:rFonts w:ascii="Arial" w:eastAsia="Times New Roman" w:hAnsi="Arial" w:cs="Arial"/>
          <w:b/>
          <w:bCs/>
          <w:color w:val="000000"/>
          <w:kern w:val="0"/>
          <w:sz w:val="20"/>
          <w:szCs w:val="20"/>
          <w:lang w:eastAsia="es-UY"/>
          <w14:ligatures w14:val="none"/>
        </w:rPr>
        <w:t>interacción de 20 a 50 preguntas</w:t>
      </w:r>
      <w:r w:rsidRPr="007B21DE">
        <w:rPr>
          <w:rFonts w:ascii="Arial" w:eastAsia="Times New Roman" w:hAnsi="Arial" w:cs="Arial"/>
          <w:color w:val="000000"/>
          <w:kern w:val="0"/>
          <w:sz w:val="20"/>
          <w:szCs w:val="20"/>
          <w:lang w:eastAsia="es-UY"/>
          <w14:ligatures w14:val="none"/>
        </w:rPr>
        <w:t xml:space="preserve"> con un modelo de lenguaje </w:t>
      </w:r>
      <w:r w:rsidRPr="007B21DE">
        <w:rPr>
          <w:rFonts w:ascii="Arial" w:eastAsia="Times New Roman" w:hAnsi="Arial" w:cs="Arial"/>
          <w:b/>
          <w:bCs/>
          <w:color w:val="000000"/>
          <w:kern w:val="0"/>
          <w:sz w:val="20"/>
          <w:szCs w:val="20"/>
          <w:lang w:eastAsia="es-UY"/>
          <w14:ligatures w14:val="none"/>
        </w:rPr>
        <w:t>consume unos 500 mililitros de agua</w:t>
      </w:r>
      <w:r w:rsidRPr="007B21DE">
        <w:rPr>
          <w:rFonts w:ascii="Arial" w:eastAsia="Times New Roman" w:hAnsi="Arial" w:cs="Arial"/>
          <w:color w:val="000000"/>
          <w:kern w:val="0"/>
          <w:sz w:val="20"/>
          <w:szCs w:val="20"/>
          <w:lang w:eastAsia="es-UY"/>
          <w14:ligatures w14:val="none"/>
        </w:rPr>
        <w:t xml:space="preserve">. Aunque es un factor relevante de eficiencia, representa una </w:t>
      </w:r>
      <w:r w:rsidRPr="007B21DE">
        <w:rPr>
          <w:rFonts w:ascii="Arial" w:eastAsia="Times New Roman" w:hAnsi="Arial" w:cs="Arial"/>
          <w:b/>
          <w:bCs/>
          <w:color w:val="000000"/>
          <w:kern w:val="0"/>
          <w:sz w:val="20"/>
          <w:szCs w:val="20"/>
          <w:lang w:eastAsia="es-UY"/>
          <w14:ligatures w14:val="none"/>
        </w:rPr>
        <w:t>fracción mínima frente a la ganadería</w:t>
      </w:r>
      <w:r w:rsidRPr="007B21DE">
        <w:rPr>
          <w:rFonts w:ascii="Arial" w:eastAsia="Times New Roman" w:hAnsi="Arial" w:cs="Arial"/>
          <w:color w:val="000000"/>
          <w:kern w:val="0"/>
          <w:sz w:val="20"/>
          <w:szCs w:val="20"/>
          <w:lang w:eastAsia="es-UY"/>
          <w14:ligatures w14:val="none"/>
        </w:rPr>
        <w:t>, en un contexto global donde mitigar el</w:t>
      </w:r>
      <w:hyperlink r:id="rId7" w:tgtFrame="_blank" w:history="1">
        <w:r w:rsidRPr="007B21DE">
          <w:rPr>
            <w:rFonts w:ascii="Arial" w:eastAsia="Times New Roman" w:hAnsi="Arial" w:cs="Arial"/>
            <w:color w:val="000000"/>
            <w:kern w:val="0"/>
            <w:sz w:val="20"/>
            <w:szCs w:val="20"/>
            <w:lang w:eastAsia="es-UY"/>
            <w14:ligatures w14:val="none"/>
          </w:rPr>
          <w:t xml:space="preserve"> </w:t>
        </w:r>
        <w:r w:rsidRPr="007B21DE">
          <w:rPr>
            <w:rFonts w:ascii="Arial" w:eastAsia="Times New Roman" w:hAnsi="Arial" w:cs="Arial"/>
            <w:color w:val="1155CC"/>
            <w:kern w:val="0"/>
            <w:sz w:val="20"/>
            <w:szCs w:val="20"/>
            <w:u w:val="single"/>
            <w:lang w:eastAsia="es-UY"/>
            <w14:ligatures w14:val="none"/>
          </w:rPr>
          <w:t>cambio climático</w:t>
        </w:r>
      </w:hyperlink>
      <w:r w:rsidRPr="007B21DE">
        <w:rPr>
          <w:rFonts w:ascii="Arial" w:eastAsia="Times New Roman" w:hAnsi="Arial" w:cs="Arial"/>
          <w:color w:val="000000"/>
          <w:kern w:val="0"/>
          <w:sz w:val="20"/>
          <w:szCs w:val="20"/>
          <w:lang w:eastAsia="es-UY"/>
          <w14:ligatures w14:val="none"/>
        </w:rPr>
        <w:t xml:space="preserve"> condiciona todas las políticas medioambientales.</w:t>
      </w:r>
    </w:p>
    <w:p w14:paraId="64A57204" w14:textId="77777777" w:rsidR="007B21DE" w:rsidRPr="007B21DE" w:rsidRDefault="007B21DE" w:rsidP="007B21DE">
      <w:pPr>
        <w:shd w:val="clear" w:color="auto" w:fill="FFFFFF"/>
        <w:spacing w:before="360" w:after="80" w:line="240" w:lineRule="auto"/>
        <w:jc w:val="both"/>
        <w:outlineLvl w:val="1"/>
        <w:rPr>
          <w:rFonts w:ascii="Arial" w:eastAsia="Times New Roman" w:hAnsi="Arial" w:cs="Arial"/>
          <w:b/>
          <w:bCs/>
          <w:color w:val="222222"/>
          <w:kern w:val="0"/>
          <w:sz w:val="36"/>
          <w:szCs w:val="36"/>
          <w:lang w:eastAsia="es-UY"/>
          <w14:ligatures w14:val="none"/>
        </w:rPr>
      </w:pPr>
      <w:r w:rsidRPr="007B21DE">
        <w:rPr>
          <w:rFonts w:ascii="Arial" w:eastAsia="Times New Roman" w:hAnsi="Arial" w:cs="Arial"/>
          <w:b/>
          <w:bCs/>
          <w:color w:val="000000"/>
          <w:kern w:val="0"/>
          <w:sz w:val="34"/>
          <w:szCs w:val="34"/>
          <w:lang w:eastAsia="es-UY"/>
          <w14:ligatures w14:val="none"/>
        </w:rPr>
        <w:t>Avances tecnológicos y desafíos en el precio de la luz y la red eléctrica</w:t>
      </w:r>
    </w:p>
    <w:p w14:paraId="3A13FF3C" w14:textId="77777777" w:rsidR="007B21DE" w:rsidRPr="007B21DE" w:rsidRDefault="007B21DE" w:rsidP="007B21DE">
      <w:pPr>
        <w:shd w:val="clear" w:color="auto" w:fill="FFFFFF"/>
        <w:spacing w:before="240" w:after="240" w:line="240" w:lineRule="auto"/>
        <w:jc w:val="both"/>
        <w:rPr>
          <w:rFonts w:ascii="Arial" w:eastAsia="Times New Roman" w:hAnsi="Arial" w:cs="Arial"/>
          <w:color w:val="222222"/>
          <w:kern w:val="0"/>
          <w:lang w:eastAsia="es-UY"/>
          <w14:ligatures w14:val="none"/>
        </w:rPr>
      </w:pPr>
      <w:r w:rsidRPr="007B21DE">
        <w:rPr>
          <w:rFonts w:ascii="Arial" w:eastAsia="Times New Roman" w:hAnsi="Arial" w:cs="Arial"/>
          <w:color w:val="000000"/>
          <w:kern w:val="0"/>
          <w:sz w:val="20"/>
          <w:szCs w:val="20"/>
          <w:lang w:eastAsia="es-UY"/>
          <w14:ligatures w14:val="none"/>
        </w:rPr>
        <w:t xml:space="preserve">Para abordar estos retos, el sector implementa sistemas de </w:t>
      </w:r>
      <w:r w:rsidRPr="007B21DE">
        <w:rPr>
          <w:rFonts w:ascii="Arial" w:eastAsia="Times New Roman" w:hAnsi="Arial" w:cs="Arial"/>
          <w:b/>
          <w:bCs/>
          <w:color w:val="000000"/>
          <w:kern w:val="0"/>
          <w:sz w:val="20"/>
          <w:szCs w:val="20"/>
          <w:lang w:eastAsia="es-UY"/>
          <w14:ligatures w14:val="none"/>
        </w:rPr>
        <w:t>refrigeración líquida de circuito cerrado</w:t>
      </w:r>
      <w:r w:rsidRPr="007B21DE">
        <w:rPr>
          <w:rFonts w:ascii="Arial" w:eastAsia="Times New Roman" w:hAnsi="Arial" w:cs="Arial"/>
          <w:color w:val="000000"/>
          <w:kern w:val="0"/>
          <w:sz w:val="20"/>
          <w:szCs w:val="20"/>
          <w:lang w:eastAsia="es-UY"/>
          <w14:ligatures w14:val="none"/>
        </w:rPr>
        <w:t>. Paralelamente, la fluctuación en el</w:t>
      </w:r>
      <w:hyperlink r:id="rId8" w:tgtFrame="_blank" w:history="1">
        <w:r w:rsidRPr="007B21DE">
          <w:rPr>
            <w:rFonts w:ascii="Arial" w:eastAsia="Times New Roman" w:hAnsi="Arial" w:cs="Arial"/>
            <w:color w:val="000000"/>
            <w:kern w:val="0"/>
            <w:sz w:val="20"/>
            <w:szCs w:val="20"/>
            <w:lang w:eastAsia="es-UY"/>
            <w14:ligatures w14:val="none"/>
          </w:rPr>
          <w:t xml:space="preserve"> </w:t>
        </w:r>
        <w:r w:rsidRPr="007B21DE">
          <w:rPr>
            <w:rFonts w:ascii="Arial" w:eastAsia="Times New Roman" w:hAnsi="Arial" w:cs="Arial"/>
            <w:color w:val="1155CC"/>
            <w:kern w:val="0"/>
            <w:sz w:val="20"/>
            <w:szCs w:val="20"/>
            <w:u w:val="single"/>
            <w:lang w:eastAsia="es-UY"/>
            <w14:ligatures w14:val="none"/>
          </w:rPr>
          <w:t>precio de la luz</w:t>
        </w:r>
      </w:hyperlink>
      <w:r w:rsidRPr="007B21DE">
        <w:rPr>
          <w:rFonts w:ascii="Arial" w:eastAsia="Times New Roman" w:hAnsi="Arial" w:cs="Arial"/>
          <w:color w:val="000000"/>
          <w:kern w:val="0"/>
          <w:sz w:val="20"/>
          <w:szCs w:val="20"/>
          <w:lang w:eastAsia="es-UY"/>
          <w14:ligatures w14:val="none"/>
        </w:rPr>
        <w:t xml:space="preserve"> determina los costes operativos e impulsa la eficiencia en los centros informáticos. La transición hacia el uso de</w:t>
      </w:r>
      <w:hyperlink r:id="rId9" w:tgtFrame="_blank" w:history="1">
        <w:r w:rsidRPr="007B21DE">
          <w:rPr>
            <w:rFonts w:ascii="Arial" w:eastAsia="Times New Roman" w:hAnsi="Arial" w:cs="Arial"/>
            <w:color w:val="000000"/>
            <w:kern w:val="0"/>
            <w:sz w:val="20"/>
            <w:szCs w:val="20"/>
            <w:lang w:eastAsia="es-UY"/>
            <w14:ligatures w14:val="none"/>
          </w:rPr>
          <w:t xml:space="preserve"> </w:t>
        </w:r>
        <w:r w:rsidRPr="007B21DE">
          <w:rPr>
            <w:rFonts w:ascii="Arial" w:eastAsia="Times New Roman" w:hAnsi="Arial" w:cs="Arial"/>
            <w:color w:val="1155CC"/>
            <w:kern w:val="0"/>
            <w:sz w:val="20"/>
            <w:szCs w:val="20"/>
            <w:u w:val="single"/>
            <w:lang w:eastAsia="es-UY"/>
            <w14:ligatures w14:val="none"/>
          </w:rPr>
          <w:t xml:space="preserve">energías </w:t>
        </w:r>
        <w:r w:rsidRPr="007B21DE">
          <w:rPr>
            <w:rFonts w:ascii="Arial" w:eastAsia="Times New Roman" w:hAnsi="Arial" w:cs="Arial"/>
            <w:color w:val="1155CC"/>
            <w:kern w:val="0"/>
            <w:sz w:val="20"/>
            <w:szCs w:val="20"/>
            <w:u w:val="single"/>
            <w:lang w:eastAsia="es-UY"/>
            <w14:ligatures w14:val="none"/>
          </w:rPr>
          <w:lastRenderedPageBreak/>
          <w:t>renovables</w:t>
        </w:r>
      </w:hyperlink>
      <w:r w:rsidRPr="007B21DE">
        <w:rPr>
          <w:rFonts w:ascii="Arial" w:eastAsia="Times New Roman" w:hAnsi="Arial" w:cs="Arial"/>
          <w:color w:val="000000"/>
          <w:kern w:val="0"/>
          <w:sz w:val="20"/>
          <w:szCs w:val="20"/>
          <w:lang w:eastAsia="es-UY"/>
          <w14:ligatures w14:val="none"/>
        </w:rPr>
        <w:t xml:space="preserve"> permitirá </w:t>
      </w:r>
      <w:r w:rsidRPr="007B21DE">
        <w:rPr>
          <w:rFonts w:ascii="Arial" w:eastAsia="Times New Roman" w:hAnsi="Arial" w:cs="Arial"/>
          <w:b/>
          <w:bCs/>
          <w:color w:val="000000"/>
          <w:kern w:val="0"/>
          <w:sz w:val="20"/>
          <w:szCs w:val="20"/>
          <w:lang w:eastAsia="es-UY"/>
          <w14:ligatures w14:val="none"/>
        </w:rPr>
        <w:t>reducir el consumo indirecto de agua</w:t>
      </w:r>
      <w:r w:rsidRPr="007B21DE">
        <w:rPr>
          <w:rFonts w:ascii="Arial" w:eastAsia="Times New Roman" w:hAnsi="Arial" w:cs="Arial"/>
          <w:color w:val="000000"/>
          <w:kern w:val="0"/>
          <w:sz w:val="20"/>
          <w:szCs w:val="20"/>
          <w:lang w:eastAsia="es-UY"/>
          <w14:ligatures w14:val="none"/>
        </w:rPr>
        <w:t xml:space="preserve"> asociado a la generación eléctrica tradicional y disminuir las emisiones.</w:t>
      </w:r>
    </w:p>
    <w:p w14:paraId="2C337D56" w14:textId="77777777" w:rsidR="007B21DE" w:rsidRPr="007B21DE" w:rsidRDefault="007B21DE" w:rsidP="007B21DE">
      <w:pPr>
        <w:spacing w:after="0" w:line="240" w:lineRule="auto"/>
        <w:rPr>
          <w:rFonts w:ascii="Times New Roman" w:eastAsia="Times New Roman" w:hAnsi="Times New Roman" w:cs="Times New Roman"/>
          <w:kern w:val="0"/>
          <w:lang w:eastAsia="es-UY"/>
          <w14:ligatures w14:val="none"/>
        </w:rPr>
      </w:pPr>
      <w:r w:rsidRPr="007B21DE">
        <w:rPr>
          <w:rFonts w:ascii="Arial" w:eastAsia="Times New Roman" w:hAnsi="Arial" w:cs="Arial"/>
          <w:color w:val="222222"/>
          <w:kern w:val="0"/>
          <w:lang w:eastAsia="es-UY"/>
          <w14:ligatures w14:val="none"/>
        </w:rPr>
        <w:br/>
      </w:r>
      <w:r w:rsidRPr="007B21DE">
        <w:rPr>
          <w:rFonts w:ascii="Arial" w:eastAsia="Times New Roman" w:hAnsi="Arial" w:cs="Arial"/>
          <w:color w:val="222222"/>
          <w:kern w:val="0"/>
          <w:lang w:eastAsia="es-UY"/>
          <w14:ligatures w14:val="none"/>
        </w:rPr>
        <w:br/>
      </w:r>
    </w:p>
    <w:p w14:paraId="4E5C0C3B" w14:textId="77777777" w:rsidR="007B21DE" w:rsidRPr="007B21DE" w:rsidRDefault="007B21DE" w:rsidP="007B21DE">
      <w:pPr>
        <w:shd w:val="clear" w:color="auto" w:fill="FFFFFF"/>
        <w:spacing w:after="0" w:line="240" w:lineRule="auto"/>
        <w:jc w:val="both"/>
        <w:rPr>
          <w:rFonts w:ascii="Arial" w:eastAsia="Times New Roman" w:hAnsi="Arial" w:cs="Arial"/>
          <w:color w:val="222222"/>
          <w:kern w:val="0"/>
          <w:lang w:eastAsia="es-UY"/>
          <w14:ligatures w14:val="none"/>
        </w:rPr>
      </w:pPr>
      <w:r w:rsidRPr="007B21DE">
        <w:rPr>
          <w:rFonts w:ascii="Arial" w:eastAsia="Times New Roman" w:hAnsi="Arial" w:cs="Arial"/>
          <w:color w:val="000000"/>
          <w:kern w:val="0"/>
          <w:sz w:val="20"/>
          <w:szCs w:val="20"/>
          <w:lang w:eastAsia="es-UY"/>
          <w14:ligatures w14:val="none"/>
        </w:rPr>
        <w:t xml:space="preserve">Fuente: </w:t>
      </w:r>
      <w:hyperlink r:id="rId10" w:tgtFrame="_blank" w:history="1">
        <w:r w:rsidRPr="007B21DE">
          <w:rPr>
            <w:rFonts w:ascii="Arial" w:eastAsia="Times New Roman" w:hAnsi="Arial" w:cs="Arial"/>
            <w:color w:val="1155CC"/>
            <w:kern w:val="0"/>
            <w:sz w:val="20"/>
            <w:szCs w:val="20"/>
            <w:u w:val="single"/>
            <w:lang w:eastAsia="es-UY"/>
            <w14:ligatures w14:val="none"/>
          </w:rPr>
          <w:t>papernest.es</w:t>
        </w:r>
      </w:hyperlink>
    </w:p>
    <w:p w14:paraId="1A124016" w14:textId="65694C01" w:rsidR="007B21DE" w:rsidRPr="007B21DE" w:rsidRDefault="007B21DE" w:rsidP="007B21DE">
      <w:pPr>
        <w:spacing w:after="0" w:line="240" w:lineRule="auto"/>
        <w:rPr>
          <w:rFonts w:ascii="Arial" w:eastAsia="Times New Roman" w:hAnsi="Arial" w:cs="Arial"/>
          <w:color w:val="222222"/>
          <w:kern w:val="0"/>
          <w:lang w:eastAsia="es-UY"/>
          <w14:ligatures w14:val="none"/>
        </w:rPr>
      </w:pPr>
      <w:r w:rsidRPr="007B21DE">
        <w:rPr>
          <w:rFonts w:ascii="Arial" w:eastAsia="Times New Roman" w:hAnsi="Arial" w:cs="Arial"/>
          <w:color w:val="222222"/>
          <w:kern w:val="0"/>
          <w:lang w:eastAsia="es-UY"/>
          <w14:ligatures w14:val="none"/>
        </w:rPr>
        <w:br/>
      </w:r>
    </w:p>
    <w:p w14:paraId="76239FF3" w14:textId="77777777" w:rsidR="007B21DE" w:rsidRDefault="007B21DE"/>
    <w:sectPr w:rsidR="007B21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B3111"/>
    <w:multiLevelType w:val="multilevel"/>
    <w:tmpl w:val="F484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620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DE"/>
    <w:rsid w:val="007B21DE"/>
    <w:rsid w:val="009D14B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6B89"/>
  <w15:chartTrackingRefBased/>
  <w15:docId w15:val="{CC35E2CD-4C3E-451F-9F3A-7F205DC2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B21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B21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B21D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B21D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B21D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B21D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B21D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B21D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B21D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21D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B21D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B21D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B21D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B21D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B21D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B21D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B21D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B21DE"/>
    <w:rPr>
      <w:rFonts w:eastAsiaTheme="majorEastAsia" w:cstheme="majorBidi"/>
      <w:color w:val="272727" w:themeColor="text1" w:themeTint="D8"/>
    </w:rPr>
  </w:style>
  <w:style w:type="paragraph" w:styleId="Ttulo">
    <w:name w:val="Title"/>
    <w:basedOn w:val="Normal"/>
    <w:next w:val="Normal"/>
    <w:link w:val="TtuloCar"/>
    <w:uiPriority w:val="10"/>
    <w:qFormat/>
    <w:rsid w:val="007B2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B21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B21D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B21D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B21DE"/>
    <w:pPr>
      <w:spacing w:before="160"/>
      <w:jc w:val="center"/>
    </w:pPr>
    <w:rPr>
      <w:i/>
      <w:iCs/>
      <w:color w:val="404040" w:themeColor="text1" w:themeTint="BF"/>
    </w:rPr>
  </w:style>
  <w:style w:type="character" w:customStyle="1" w:styleId="CitaCar">
    <w:name w:val="Cita Car"/>
    <w:basedOn w:val="Fuentedeprrafopredeter"/>
    <w:link w:val="Cita"/>
    <w:uiPriority w:val="29"/>
    <w:rsid w:val="007B21DE"/>
    <w:rPr>
      <w:i/>
      <w:iCs/>
      <w:color w:val="404040" w:themeColor="text1" w:themeTint="BF"/>
    </w:rPr>
  </w:style>
  <w:style w:type="paragraph" w:styleId="Prrafodelista">
    <w:name w:val="List Paragraph"/>
    <w:basedOn w:val="Normal"/>
    <w:uiPriority w:val="34"/>
    <w:qFormat/>
    <w:rsid w:val="007B21DE"/>
    <w:pPr>
      <w:ind w:left="720"/>
      <w:contextualSpacing/>
    </w:pPr>
  </w:style>
  <w:style w:type="character" w:styleId="nfasisintenso">
    <w:name w:val="Intense Emphasis"/>
    <w:basedOn w:val="Fuentedeprrafopredeter"/>
    <w:uiPriority w:val="21"/>
    <w:qFormat/>
    <w:rsid w:val="007B21DE"/>
    <w:rPr>
      <w:i/>
      <w:iCs/>
      <w:color w:val="0F4761" w:themeColor="accent1" w:themeShade="BF"/>
    </w:rPr>
  </w:style>
  <w:style w:type="paragraph" w:styleId="Citadestacada">
    <w:name w:val="Intense Quote"/>
    <w:basedOn w:val="Normal"/>
    <w:next w:val="Normal"/>
    <w:link w:val="CitadestacadaCar"/>
    <w:uiPriority w:val="30"/>
    <w:qFormat/>
    <w:rsid w:val="007B21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B21DE"/>
    <w:rPr>
      <w:i/>
      <w:iCs/>
      <w:color w:val="0F4761" w:themeColor="accent1" w:themeShade="BF"/>
    </w:rPr>
  </w:style>
  <w:style w:type="character" w:styleId="Referenciaintensa">
    <w:name w:val="Intense Reference"/>
    <w:basedOn w:val="Fuentedeprrafopredeter"/>
    <w:uiPriority w:val="32"/>
    <w:qFormat/>
    <w:rsid w:val="007B21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pernest.es/precio-de-la-luz/hoy/" TargetMode="External"/><Relationship Id="rId3" Type="http://schemas.openxmlformats.org/officeDocument/2006/relationships/settings" Target="settings.xml"/><Relationship Id="rId7" Type="http://schemas.openxmlformats.org/officeDocument/2006/relationships/hyperlink" Target="https://www.papernest.es/info/renovables/cambio-climati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pernest.es/energias-renovables/movilidad-sostenible/" TargetMode="External"/><Relationship Id="rId11" Type="http://schemas.openxmlformats.org/officeDocument/2006/relationships/fontTable" Target="fontTable.xml"/><Relationship Id="rId5" Type="http://schemas.openxmlformats.org/officeDocument/2006/relationships/hyperlink" Target="https://www.papernest.es/info/huella-carbono/" TargetMode="External"/><Relationship Id="rId10" Type="http://schemas.openxmlformats.org/officeDocument/2006/relationships/hyperlink" Target="https://www.papernest.es/" TargetMode="External"/><Relationship Id="rId4" Type="http://schemas.openxmlformats.org/officeDocument/2006/relationships/webSettings" Target="webSettings.xml"/><Relationship Id="rId9" Type="http://schemas.openxmlformats.org/officeDocument/2006/relationships/hyperlink" Target="https://www.papernest.es/info/renovab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2764</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2026-08-24T12:27:00Z</dcterms:created>
  <dcterms:modified xsi:type="dcterms:W3CDTF">2026-08-24T12:28:00Z</dcterms:modified>
</cp:coreProperties>
</file>